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42BDF" w14:textId="025AD7ED" w:rsidR="00C93629" w:rsidRDefault="00C93629" w:rsidP="00DE4BAF">
      <w:pPr>
        <w:spacing w:line="276" w:lineRule="auto"/>
      </w:pPr>
      <w:r>
        <w:rPr>
          <w:noProof/>
        </w:rPr>
        <w:drawing>
          <wp:anchor distT="0" distB="0" distL="114300" distR="114300" simplePos="0" relativeHeight="251640320" behindDoc="0" locked="0" layoutInCell="1" allowOverlap="1" wp14:anchorId="3D7B5736" wp14:editId="792EC86F">
            <wp:simplePos x="0" y="0"/>
            <wp:positionH relativeFrom="margin">
              <wp:posOffset>4726305</wp:posOffset>
            </wp:positionH>
            <wp:positionV relativeFrom="paragraph">
              <wp:posOffset>0</wp:posOffset>
            </wp:positionV>
            <wp:extent cx="1601470" cy="410210"/>
            <wp:effectExtent l="0" t="0" r="0" b="8890"/>
            <wp:wrapSquare wrapText="bothSides"/>
            <wp:docPr id="1" name="Picture 1"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1470" cy="4102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38272" behindDoc="0" locked="0" layoutInCell="1" allowOverlap="1" wp14:anchorId="4BBA745D" wp14:editId="2B94EC78">
            <wp:simplePos x="0" y="0"/>
            <wp:positionH relativeFrom="margin">
              <wp:posOffset>-741560</wp:posOffset>
            </wp:positionH>
            <wp:positionV relativeFrom="paragraph">
              <wp:posOffset>-862330</wp:posOffset>
            </wp:positionV>
            <wp:extent cx="2657475" cy="1494155"/>
            <wp:effectExtent l="0" t="0" r="0" b="0"/>
            <wp:wrapNone/>
            <wp:docPr id="5" name="Picture 5" descr="Macintosh HD:Users:hollykearn:projects:PRSB:bran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hollykearn:projects:PRSB:brand:logo.png"/>
                    <pic:cNvPicPr>
                      <a:picLocks noChangeAspect="1" noChangeArrowheads="1"/>
                    </pic:cNvPicPr>
                  </pic:nvPicPr>
                  <pic:blipFill>
                    <a:blip r:embed="rId9"/>
                    <a:srcRect/>
                    <a:stretch>
                      <a:fillRect/>
                    </a:stretch>
                  </pic:blipFill>
                  <pic:spPr bwMode="auto">
                    <a:xfrm>
                      <a:off x="0" y="0"/>
                      <a:ext cx="2657475" cy="14941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p>
    <w:p w14:paraId="7AD3D310" w14:textId="721A6202" w:rsidR="00C93629" w:rsidRDefault="00C14A11" w:rsidP="00DE4BAF">
      <w:pPr>
        <w:spacing w:line="276" w:lineRule="auto"/>
      </w:pPr>
      <w:r>
        <w:rPr>
          <w:noProof/>
        </w:rPr>
        <mc:AlternateContent>
          <mc:Choice Requires="wpg">
            <w:drawing>
              <wp:anchor distT="0" distB="0" distL="114300" distR="114300" simplePos="0" relativeHeight="251642368" behindDoc="0" locked="0" layoutInCell="1" allowOverlap="1" wp14:anchorId="40D14DB4" wp14:editId="14A5E132">
                <wp:simplePos x="0" y="0"/>
                <wp:positionH relativeFrom="column">
                  <wp:posOffset>-947420</wp:posOffset>
                </wp:positionH>
                <wp:positionV relativeFrom="paragraph">
                  <wp:posOffset>6661785</wp:posOffset>
                </wp:positionV>
                <wp:extent cx="7899094" cy="2171065"/>
                <wp:effectExtent l="0" t="0" r="13335" b="13335"/>
                <wp:wrapNone/>
                <wp:docPr id="7" name="Group 7"/>
                <wp:cNvGraphicFramePr/>
                <a:graphic xmlns:a="http://schemas.openxmlformats.org/drawingml/2006/main">
                  <a:graphicData uri="http://schemas.microsoft.com/office/word/2010/wordprocessingGroup">
                    <wpg:wgp>
                      <wpg:cNvGrpSpPr/>
                      <wpg:grpSpPr>
                        <a:xfrm>
                          <a:off x="0" y="0"/>
                          <a:ext cx="7899094" cy="2171065"/>
                          <a:chOff x="0" y="0"/>
                          <a:chExt cx="8105775" cy="2171065"/>
                        </a:xfrm>
                      </wpg:grpSpPr>
                      <wps:wsp>
                        <wps:cNvPr id="4" name="Rectangle 4"/>
                        <wps:cNvSpPr/>
                        <wps:spPr>
                          <a:xfrm>
                            <a:off x="0" y="0"/>
                            <a:ext cx="8105775" cy="2171065"/>
                          </a:xfrm>
                          <a:prstGeom prst="rect">
                            <a:avLst/>
                          </a:prstGeom>
                          <a:solidFill>
                            <a:srgbClr val="1C254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170915" y="171450"/>
                            <a:ext cx="7023640" cy="1847131"/>
                          </a:xfrm>
                          <a:prstGeom prst="rect">
                            <a:avLst/>
                          </a:prstGeom>
                          <a:solidFill>
                            <a:srgbClr val="1C2640"/>
                          </a:solidFill>
                          <a:ln w="6350">
                            <a:noFill/>
                          </a:ln>
                        </wps:spPr>
                        <wps:txbx>
                          <w:txbxContent>
                            <w:p w14:paraId="022023ED" w14:textId="56368545" w:rsidR="00BB4D61" w:rsidRPr="009F6FE1" w:rsidRDefault="007C0FED" w:rsidP="00DE4BAF">
                              <w:pPr>
                                <w:spacing w:line="276" w:lineRule="auto"/>
                                <w:rPr>
                                  <w:rFonts w:ascii="Arial" w:hAnsi="Arial" w:cs="Arial"/>
                                  <w:b/>
                                  <w:bCs/>
                                  <w:color w:val="FFFFFF" w:themeColor="background1"/>
                                  <w:sz w:val="48"/>
                                  <w:szCs w:val="48"/>
                                </w:rPr>
                              </w:pPr>
                              <w:r>
                                <w:rPr>
                                  <w:rFonts w:ascii="Arial" w:hAnsi="Arial" w:cs="Arial"/>
                                  <w:b/>
                                  <w:bCs/>
                                  <w:color w:val="FFFFFF" w:themeColor="background1"/>
                                  <w:sz w:val="48"/>
                                  <w:szCs w:val="48"/>
                                </w:rPr>
                                <w:t>Methodology</w:t>
                              </w:r>
                              <w:r w:rsidR="006F11E0">
                                <w:rPr>
                                  <w:rFonts w:ascii="Arial" w:hAnsi="Arial" w:cs="Arial"/>
                                  <w:b/>
                                  <w:bCs/>
                                  <w:color w:val="FFFFFF" w:themeColor="background1"/>
                                  <w:sz w:val="48"/>
                                  <w:szCs w:val="48"/>
                                </w:rPr>
                                <w:t xml:space="preserve"> and methods used to develop guidance</w:t>
                              </w:r>
                            </w:p>
                            <w:p w14:paraId="260EF11F" w14:textId="5CBDC3C4" w:rsidR="00BB4D61" w:rsidRDefault="00BB4D61" w:rsidP="00DE4BAF">
                              <w:pPr>
                                <w:spacing w:line="276" w:lineRule="auto"/>
                                <w:rPr>
                                  <w:rFonts w:ascii="Arial" w:hAnsi="Arial" w:cs="Arial"/>
                                  <w:color w:val="FFFFFF" w:themeColor="background1"/>
                                  <w:sz w:val="48"/>
                                  <w:szCs w:val="48"/>
                                </w:rPr>
                              </w:pPr>
                              <w:r>
                                <w:rPr>
                                  <w:rFonts w:ascii="Arial" w:hAnsi="Arial" w:cs="Arial"/>
                                  <w:color w:val="FFFFFF" w:themeColor="background1"/>
                                  <w:sz w:val="48"/>
                                  <w:szCs w:val="48"/>
                                </w:rPr>
                                <w:t xml:space="preserve">Appendix </w:t>
                              </w:r>
                              <w:r w:rsidR="007C0FED">
                                <w:rPr>
                                  <w:rFonts w:ascii="Arial" w:hAnsi="Arial" w:cs="Arial"/>
                                  <w:color w:val="FFFFFF" w:themeColor="background1"/>
                                  <w:sz w:val="48"/>
                                  <w:szCs w:val="48"/>
                                </w:rPr>
                                <w:t>D</w:t>
                              </w:r>
                            </w:p>
                            <w:p w14:paraId="26450AAE" w14:textId="77777777" w:rsidR="00BB4D61" w:rsidRPr="00C93629" w:rsidRDefault="00BB4D61" w:rsidP="00C93629">
                              <w:pPr>
                                <w:rPr>
                                  <w:rFonts w:ascii="Arial" w:hAnsi="Arial" w:cs="Arial"/>
                                  <w:color w:val="FFFFFF" w:themeColor="background1"/>
                                  <w:sz w:val="48"/>
                                  <w:szCs w:val="48"/>
                                </w:rPr>
                              </w:pPr>
                            </w:p>
                            <w:p w14:paraId="41B78C94" w14:textId="48CEBF66" w:rsidR="00BB4D61" w:rsidRPr="009F6FE1" w:rsidRDefault="00BB4D61" w:rsidP="00C93629">
                              <w:pPr>
                                <w:rPr>
                                  <w:rFonts w:ascii="Arial" w:hAnsi="Arial" w:cs="Arial"/>
                                  <w:color w:val="FFFFFF" w:themeColor="background1"/>
                                  <w:sz w:val="32"/>
                                  <w:szCs w:val="32"/>
                                </w:rPr>
                              </w:pPr>
                              <w:r>
                                <w:rPr>
                                  <w:rFonts w:ascii="Arial" w:hAnsi="Arial" w:cs="Arial"/>
                                  <w:color w:val="FFFFFF" w:themeColor="background1"/>
                                  <w:sz w:val="32"/>
                                  <w:szCs w:val="32"/>
                                </w:rPr>
                                <w:t>FEBRUARY</w:t>
                              </w:r>
                              <w:r w:rsidRPr="009F6FE1">
                                <w:rPr>
                                  <w:rFonts w:ascii="Arial" w:hAnsi="Arial" w:cs="Arial"/>
                                  <w:color w:val="FFFFFF" w:themeColor="background1"/>
                                  <w:sz w:val="32"/>
                                  <w:szCs w:val="32"/>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D14DB4" id="Group 7" o:spid="_x0000_s1026" style="position:absolute;margin-left:-74.6pt;margin-top:524.55pt;width:622pt;height:170.95pt;z-index:251642368;mso-width-relative:margin;mso-height-relative:margin" coordsize="81057,2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">
                <v:rect id="Rectangle 4" o:spid="_x0000_s1027" style="position:absolute;width:81057;height:21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" fillcolor="#1c2541" strokecolor="#1f3763 [1604]" strokeweight="1pt"/>
                <v:shapetype id="_x0000_t202" coordsize="21600,21600" o:spt="202" path="m,l,21600r21600,l21600,xe">
                  <v:stroke joinstyle="miter"/>
                  <v:path gradientshapeok="t" o:connecttype="rect"/>
                </v:shapetype>
                <v:shape id="Text Box 3" o:spid="_x0000_s1028" type="#_x0000_t202" style="position:absolute;left:1709;top:1714;width:70236;height:18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" fillcolor="#1c2640" stroked="f" strokeweight=".5pt">
                  <v:textbox>
                    <w:txbxContent>
                      <w:p w14:paraId="022023ED" w14:textId="56368545" w:rsidR="00BB4D61" w:rsidRPr="009F6FE1" w:rsidRDefault="007C0FED" w:rsidP="00DE4BAF">
                        <w:pPr>
                          <w:spacing w:line="276" w:lineRule="auto"/>
                          <w:rPr>
                            <w:rFonts w:ascii="Arial" w:hAnsi="Arial" w:cs="Arial"/>
                            <w:b/>
                            <w:bCs/>
                            <w:color w:val="FFFFFF" w:themeColor="background1"/>
                            <w:sz w:val="48"/>
                            <w:szCs w:val="48"/>
                          </w:rPr>
                        </w:pPr>
                        <w:r>
                          <w:rPr>
                            <w:rFonts w:ascii="Arial" w:hAnsi="Arial" w:cs="Arial"/>
                            <w:b/>
                            <w:bCs/>
                            <w:color w:val="FFFFFF" w:themeColor="background1"/>
                            <w:sz w:val="48"/>
                            <w:szCs w:val="48"/>
                          </w:rPr>
                          <w:t>Methodology</w:t>
                        </w:r>
                        <w:r w:rsidR="006F11E0">
                          <w:rPr>
                            <w:rFonts w:ascii="Arial" w:hAnsi="Arial" w:cs="Arial"/>
                            <w:b/>
                            <w:bCs/>
                            <w:color w:val="FFFFFF" w:themeColor="background1"/>
                            <w:sz w:val="48"/>
                            <w:szCs w:val="48"/>
                          </w:rPr>
                          <w:t xml:space="preserve"> and methods used to develop guidance</w:t>
                        </w:r>
                      </w:p>
                      <w:p w14:paraId="260EF11F" w14:textId="5CBDC3C4" w:rsidR="00BB4D61" w:rsidRDefault="00BB4D61" w:rsidP="00DE4BAF">
                        <w:pPr>
                          <w:spacing w:line="276" w:lineRule="auto"/>
                          <w:rPr>
                            <w:rFonts w:ascii="Arial" w:hAnsi="Arial" w:cs="Arial"/>
                            <w:color w:val="FFFFFF" w:themeColor="background1"/>
                            <w:sz w:val="48"/>
                            <w:szCs w:val="48"/>
                          </w:rPr>
                        </w:pPr>
                        <w:r>
                          <w:rPr>
                            <w:rFonts w:ascii="Arial" w:hAnsi="Arial" w:cs="Arial"/>
                            <w:color w:val="FFFFFF" w:themeColor="background1"/>
                            <w:sz w:val="48"/>
                            <w:szCs w:val="48"/>
                          </w:rPr>
                          <w:t xml:space="preserve">Appendix </w:t>
                        </w:r>
                        <w:r w:rsidR="007C0FED">
                          <w:rPr>
                            <w:rFonts w:ascii="Arial" w:hAnsi="Arial" w:cs="Arial"/>
                            <w:color w:val="FFFFFF" w:themeColor="background1"/>
                            <w:sz w:val="48"/>
                            <w:szCs w:val="48"/>
                          </w:rPr>
                          <w:t>D</w:t>
                        </w:r>
                      </w:p>
                      <w:p w14:paraId="26450AAE" w14:textId="77777777" w:rsidR="00BB4D61" w:rsidRPr="00C93629" w:rsidRDefault="00BB4D61" w:rsidP="00C93629">
                        <w:pPr>
                          <w:rPr>
                            <w:rFonts w:ascii="Arial" w:hAnsi="Arial" w:cs="Arial"/>
                            <w:color w:val="FFFFFF" w:themeColor="background1"/>
                            <w:sz w:val="48"/>
                            <w:szCs w:val="48"/>
                          </w:rPr>
                        </w:pPr>
                      </w:p>
                      <w:p w14:paraId="41B78C94" w14:textId="48CEBF66" w:rsidR="00BB4D61" w:rsidRPr="009F6FE1" w:rsidRDefault="00BB4D61" w:rsidP="00C93629">
                        <w:pPr>
                          <w:rPr>
                            <w:rFonts w:ascii="Arial" w:hAnsi="Arial" w:cs="Arial"/>
                            <w:color w:val="FFFFFF" w:themeColor="background1"/>
                            <w:sz w:val="32"/>
                            <w:szCs w:val="32"/>
                          </w:rPr>
                        </w:pPr>
                        <w:r>
                          <w:rPr>
                            <w:rFonts w:ascii="Arial" w:hAnsi="Arial" w:cs="Arial"/>
                            <w:color w:val="FFFFFF" w:themeColor="background1"/>
                            <w:sz w:val="32"/>
                            <w:szCs w:val="32"/>
                          </w:rPr>
                          <w:t>FEBRUARY</w:t>
                        </w:r>
                        <w:r w:rsidRPr="009F6FE1">
                          <w:rPr>
                            <w:rFonts w:ascii="Arial" w:hAnsi="Arial" w:cs="Arial"/>
                            <w:color w:val="FFFFFF" w:themeColor="background1"/>
                            <w:sz w:val="32"/>
                            <w:szCs w:val="32"/>
                          </w:rPr>
                          <w:t xml:space="preserve"> 2020</w:t>
                        </w:r>
                      </w:p>
                    </w:txbxContent>
                  </v:textbox>
                </v:shape>
              </v:group>
            </w:pict>
          </mc:Fallback>
        </mc:AlternateContent>
      </w:r>
      <w:r w:rsidR="00C93629">
        <w:br w:type="page"/>
      </w:r>
    </w:p>
    <w:p w14:paraId="2B5510D6" w14:textId="77777777" w:rsidR="00C93629" w:rsidRDefault="00C93629" w:rsidP="00DE4BAF">
      <w:pPr>
        <w:spacing w:before="100" w:beforeAutospacing="1" w:after="100" w:afterAutospacing="1" w:line="276" w:lineRule="auto"/>
        <w:rPr>
          <w:rFonts w:ascii="Arial" w:hAnsi="Arial" w:cs="Arial"/>
          <w:b/>
          <w:bCs/>
        </w:rPr>
      </w:pPr>
      <w:r w:rsidRPr="00482D77">
        <w:rPr>
          <w:rFonts w:ascii="Arial" w:hAnsi="Arial" w:cs="Arial"/>
          <w:b/>
          <w:bCs/>
        </w:rPr>
        <w:lastRenderedPageBreak/>
        <w:t xml:space="preserve">Copyright </w:t>
      </w:r>
    </w:p>
    <w:p w14:paraId="7973BDAD" w14:textId="77777777" w:rsidR="00C93629" w:rsidRDefault="00C93629" w:rsidP="00DE4BAF">
      <w:pPr>
        <w:spacing w:before="100" w:beforeAutospacing="1" w:after="100" w:afterAutospacing="1" w:line="276" w:lineRule="auto"/>
        <w:rPr>
          <w:rFonts w:ascii="ArialMT" w:hAnsi="ArialMT"/>
        </w:rPr>
      </w:pPr>
      <w:r w:rsidRPr="00482D77">
        <w:rPr>
          <w:rFonts w:ascii="ArialMT" w:hAnsi="ArialMT"/>
        </w:rPr>
        <w:t xml:space="preserve">This document has been prepared by the PRSB on behalf of NHS England. You may use and re-use the information featured in this document (not including logos or images) free of charge in any format or medium, under the terms of the Open Government Licence. Any enquiries regarding the use and re-use of this information resource should be sent to: </w:t>
      </w:r>
      <w:r w:rsidRPr="00482D77">
        <w:rPr>
          <w:rFonts w:ascii="ArialMT" w:hAnsi="ArialMT"/>
          <w:color w:val="00334F"/>
        </w:rPr>
        <w:t>support@theprsb.org</w:t>
      </w:r>
      <w:r w:rsidRPr="00482D77">
        <w:rPr>
          <w:rFonts w:ascii="ArialMT" w:hAnsi="ArialMT"/>
        </w:rPr>
        <w:t xml:space="preserve">. Where we have identified any third-party copyright material you will need to obtain permission from the copyright holders concerned. </w:t>
      </w:r>
    </w:p>
    <w:p w14:paraId="6840912D" w14:textId="77777777" w:rsidR="00C93629" w:rsidRPr="00482D77" w:rsidRDefault="00C93629" w:rsidP="00DE4BAF">
      <w:pPr>
        <w:spacing w:before="100" w:beforeAutospacing="1" w:after="100" w:afterAutospacing="1" w:line="276" w:lineRule="auto"/>
        <w:rPr>
          <w:rFonts w:ascii="ArialMT" w:hAnsi="ArialMT"/>
        </w:rPr>
      </w:pPr>
    </w:p>
    <w:p w14:paraId="100E6AF4" w14:textId="77777777" w:rsidR="00C93629" w:rsidRDefault="00C93629" w:rsidP="00DE4BAF">
      <w:pPr>
        <w:spacing w:before="100" w:beforeAutospacing="1" w:after="100" w:afterAutospacing="1" w:line="276" w:lineRule="auto"/>
        <w:rPr>
          <w:rFonts w:ascii="ArialMT" w:hAnsi="ArialMT"/>
        </w:rPr>
      </w:pPr>
      <w:r w:rsidRPr="00482D77">
        <w:rPr>
          <w:rFonts w:ascii="ArialMT" w:hAnsi="ArialMT"/>
        </w:rPr>
        <w:t>Information and content © PRSB 20</w:t>
      </w:r>
      <w:r>
        <w:rPr>
          <w:rFonts w:ascii="ArialMT" w:hAnsi="ArialMT"/>
        </w:rPr>
        <w:t>20</w:t>
      </w:r>
    </w:p>
    <w:p w14:paraId="1429D2EF" w14:textId="77777777" w:rsidR="00C93629" w:rsidRPr="00482D77" w:rsidRDefault="00C93629" w:rsidP="00DE4BAF">
      <w:pPr>
        <w:spacing w:before="100" w:beforeAutospacing="1" w:after="100" w:afterAutospacing="1" w:line="276" w:lineRule="auto"/>
      </w:pPr>
    </w:p>
    <w:p w14:paraId="5E421DFF" w14:textId="77777777" w:rsidR="0049007B" w:rsidRPr="00A2073B" w:rsidRDefault="0049007B" w:rsidP="00DE4BAF">
      <w:pPr>
        <w:spacing w:before="100" w:beforeAutospacing="1" w:after="100" w:afterAutospacing="1" w:line="276" w:lineRule="auto"/>
      </w:pPr>
      <w:r w:rsidRPr="00482D77">
        <w:rPr>
          <w:rFonts w:ascii="Arial" w:hAnsi="Arial" w:cs="Arial"/>
          <w:b/>
          <w:bCs/>
        </w:rPr>
        <w:t xml:space="preserve">Professional Record Standards Body </w:t>
      </w:r>
    </w:p>
    <w:p w14:paraId="2985AC96" w14:textId="77777777" w:rsidR="0049007B" w:rsidRPr="000558ED" w:rsidRDefault="0049007B" w:rsidP="00DE4BAF">
      <w:pPr>
        <w:spacing w:before="100" w:beforeAutospacing="1" w:after="100" w:afterAutospacing="1" w:line="276" w:lineRule="auto"/>
      </w:pPr>
      <w:r>
        <w:rPr>
          <w:rFonts w:ascii="ArialMT" w:hAnsi="ArialMT"/>
        </w:rPr>
        <w:t>7 – 14 Great Dover</w:t>
      </w:r>
      <w:r w:rsidRPr="00482D77">
        <w:rPr>
          <w:rFonts w:ascii="ArialMT" w:hAnsi="ArialMT"/>
        </w:rPr>
        <w:t xml:space="preserve"> Street,</w:t>
      </w:r>
    </w:p>
    <w:p w14:paraId="083AAE05" w14:textId="77777777" w:rsidR="0049007B" w:rsidRDefault="0049007B" w:rsidP="00DE4BAF">
      <w:pPr>
        <w:spacing w:before="100" w:beforeAutospacing="1" w:after="100" w:afterAutospacing="1" w:line="276" w:lineRule="auto"/>
        <w:rPr>
          <w:rFonts w:ascii="ArialMT" w:hAnsi="ArialMT"/>
        </w:rPr>
      </w:pPr>
      <w:r w:rsidRPr="00482D77">
        <w:rPr>
          <w:rFonts w:ascii="ArialMT" w:hAnsi="ArialMT"/>
        </w:rPr>
        <w:t xml:space="preserve">London, SE1 </w:t>
      </w:r>
      <w:r>
        <w:rPr>
          <w:rFonts w:ascii="ArialMT" w:hAnsi="ArialMT"/>
        </w:rPr>
        <w:t>4YR</w:t>
      </w:r>
      <w:r w:rsidRPr="00482D77">
        <w:rPr>
          <w:rFonts w:ascii="ArialMT" w:hAnsi="ArialMT"/>
        </w:rPr>
        <w:t>.</w:t>
      </w:r>
    </w:p>
    <w:p w14:paraId="4E3299C8" w14:textId="77777777" w:rsidR="0049007B" w:rsidRPr="00482D77" w:rsidRDefault="0049007B" w:rsidP="00DE4BAF">
      <w:pPr>
        <w:spacing w:before="100" w:beforeAutospacing="1" w:after="100" w:afterAutospacing="1" w:line="276" w:lineRule="auto"/>
      </w:pPr>
      <w:r w:rsidRPr="00482D77">
        <w:rPr>
          <w:rFonts w:ascii="Arial" w:hAnsi="Arial" w:cs="Arial"/>
          <w:b/>
          <w:bCs/>
        </w:rPr>
        <w:t xml:space="preserve">www.theprsb.org </w:t>
      </w:r>
    </w:p>
    <w:p w14:paraId="06426EB1" w14:textId="77777777" w:rsidR="0049007B" w:rsidRPr="00482D77" w:rsidRDefault="0049007B" w:rsidP="00DE4BAF">
      <w:pPr>
        <w:spacing w:before="100" w:beforeAutospacing="1" w:after="100" w:afterAutospacing="1" w:line="276" w:lineRule="auto"/>
      </w:pPr>
      <w:r w:rsidRPr="00482D77">
        <w:rPr>
          <w:rFonts w:ascii="ArialMT" w:hAnsi="ArialMT"/>
        </w:rPr>
        <w:t xml:space="preserve">Community Interest Company No 8540834 </w:t>
      </w:r>
    </w:p>
    <w:p w14:paraId="21521BAA" w14:textId="77777777" w:rsidR="00C93629" w:rsidRDefault="00C93629" w:rsidP="00DE4BAF">
      <w:pPr>
        <w:spacing w:line="276" w:lineRule="auto"/>
      </w:pPr>
      <w:r>
        <w:br w:type="page"/>
      </w:r>
    </w:p>
    <w:p w14:paraId="65FC1196" w14:textId="77777777" w:rsidR="006B0C42" w:rsidRDefault="006B0C42" w:rsidP="00DE4BAF">
      <w:pPr>
        <w:spacing w:before="100" w:beforeAutospacing="1" w:after="100" w:afterAutospacing="1" w:line="276" w:lineRule="auto"/>
        <w:rPr>
          <w:rFonts w:ascii="Calibri" w:hAnsi="Calibri" w:cs="Calibri"/>
          <w:b/>
          <w:bCs/>
          <w:color w:val="23759E"/>
          <w:sz w:val="28"/>
          <w:szCs w:val="28"/>
        </w:rPr>
      </w:pPr>
      <w:r w:rsidRPr="000558ED">
        <w:rPr>
          <w:rFonts w:ascii="Calibri" w:hAnsi="Calibri" w:cs="Calibri"/>
          <w:b/>
          <w:bCs/>
          <w:color w:val="23759E"/>
          <w:sz w:val="28"/>
          <w:szCs w:val="28"/>
        </w:rPr>
        <w:lastRenderedPageBreak/>
        <w:t xml:space="preserve">Acknowledgements </w:t>
      </w:r>
    </w:p>
    <w:p w14:paraId="123B969D" w14:textId="77777777" w:rsidR="006B0C42" w:rsidRPr="000558ED" w:rsidRDefault="006B0C42" w:rsidP="00DE4BAF">
      <w:pPr>
        <w:spacing w:before="100" w:beforeAutospacing="1" w:after="100" w:afterAutospacing="1" w:line="276" w:lineRule="auto"/>
      </w:pPr>
      <w:r w:rsidRPr="000558ED">
        <w:rPr>
          <w:rFonts w:ascii="Arial" w:hAnsi="Arial" w:cs="Arial"/>
          <w:b/>
          <w:bCs/>
        </w:rPr>
        <w:t>NHS England</w:t>
      </w:r>
    </w:p>
    <w:p w14:paraId="130DC6D3" w14:textId="77777777" w:rsidR="006B0C42" w:rsidRPr="000558ED" w:rsidRDefault="006B0C42" w:rsidP="00DE4BAF">
      <w:pPr>
        <w:spacing w:before="100" w:beforeAutospacing="1" w:after="100" w:afterAutospacing="1" w:line="276" w:lineRule="auto"/>
      </w:pPr>
      <w:r w:rsidRPr="000558ED">
        <w:rPr>
          <w:rFonts w:ascii="ArialMT" w:hAnsi="ArialMT"/>
        </w:rPr>
        <w:t xml:space="preserve">NHS England oversees the budget, planning, delivery and day-to-day operation of the commissioning side of the NHS in England as set out in the Health and Social Care Act 2012. It holds the contracts for GPs and NHS dentists. The Secretary of State publishes, annually, a document known as the mandate which specifies the objectives which the board should seek to achieve. National Health Service (Mandate Requirements) Regulations are published each year to give legal force to the mandate. </w:t>
      </w:r>
    </w:p>
    <w:p w14:paraId="12915290" w14:textId="77777777" w:rsidR="006B0C42" w:rsidRPr="000558ED" w:rsidRDefault="006B0C42" w:rsidP="00DE4BAF">
      <w:pPr>
        <w:spacing w:before="100" w:beforeAutospacing="1" w:after="100" w:afterAutospacing="1" w:line="276" w:lineRule="auto"/>
      </w:pPr>
      <w:r w:rsidRPr="000558ED">
        <w:rPr>
          <w:rFonts w:ascii="Arial" w:hAnsi="Arial" w:cs="Arial"/>
          <w:b/>
          <w:bCs/>
        </w:rPr>
        <w:t xml:space="preserve">The Professional Record Standards Body (PRSB) </w:t>
      </w:r>
    </w:p>
    <w:p w14:paraId="6C1923D8" w14:textId="77777777" w:rsidR="006B0C42" w:rsidRDefault="006B0C42" w:rsidP="00DE4BAF">
      <w:pPr>
        <w:spacing w:before="100" w:beforeAutospacing="1" w:after="100" w:afterAutospacing="1" w:line="276" w:lineRule="auto"/>
        <w:rPr>
          <w:rFonts w:ascii="ArialMT" w:hAnsi="ArialMT"/>
        </w:rPr>
      </w:pPr>
      <w:r w:rsidRPr="000558ED">
        <w:rPr>
          <w:rFonts w:ascii="ArialMT" w:hAnsi="ArialMT"/>
        </w:rPr>
        <w:t>The PRSB (</w:t>
      </w:r>
      <w:r w:rsidRPr="000558ED">
        <w:rPr>
          <w:rFonts w:ascii="ArialMT" w:hAnsi="ArialMT"/>
          <w:color w:val="00334F"/>
        </w:rPr>
        <w:t>www.theprsb.org</w:t>
      </w:r>
      <w:r w:rsidRPr="000558ED">
        <w:rPr>
          <w:rFonts w:ascii="ArialMT" w:hAnsi="ArialMT"/>
        </w:rPr>
        <w:t xml:space="preserve">) is the UK wide organisation that develops consensus-based care record standards in collaboration with professional and patient organisations, the healthcare IT community and relevant government departments (e.g. NHS Digital). The standards are intended for widespread use in digital health and social care records. PRSB was established in 2013 as a “not for profit” Community Interest Company. </w:t>
      </w:r>
    </w:p>
    <w:p w14:paraId="1B8104E4" w14:textId="77777777" w:rsidR="006B0C42" w:rsidRPr="000558ED" w:rsidRDefault="006B0C42" w:rsidP="00DE4BAF">
      <w:pPr>
        <w:spacing w:before="100" w:beforeAutospacing="1" w:after="100" w:afterAutospacing="1" w:line="276" w:lineRule="auto"/>
      </w:pPr>
    </w:p>
    <w:p w14:paraId="3FA55633" w14:textId="77777777" w:rsidR="006B0C42" w:rsidRDefault="006B0C42" w:rsidP="00DE4BAF">
      <w:pPr>
        <w:spacing w:line="276" w:lineRule="auto"/>
        <w:rPr>
          <w:rFonts w:ascii="Arial" w:hAnsi="Arial" w:cs="Arial"/>
          <w:b/>
          <w:bCs/>
          <w:color w:val="1078B9"/>
          <w:sz w:val="42"/>
          <w:szCs w:val="42"/>
        </w:rPr>
      </w:pPr>
      <w:r>
        <w:rPr>
          <w:rFonts w:ascii="Arial" w:hAnsi="Arial" w:cs="Arial"/>
          <w:b/>
          <w:bCs/>
          <w:color w:val="1078B9"/>
          <w:sz w:val="42"/>
          <w:szCs w:val="42"/>
        </w:rPr>
        <w:br w:type="page"/>
      </w:r>
    </w:p>
    <w:p w14:paraId="44E8C548" w14:textId="77777777" w:rsidR="00C93629" w:rsidRPr="00310970" w:rsidRDefault="00C93629" w:rsidP="00DE4BAF">
      <w:pPr>
        <w:pStyle w:val="NormalWeb"/>
        <w:spacing w:line="276" w:lineRule="auto"/>
        <w:rPr>
          <w:rFonts w:ascii="Arial" w:hAnsi="Arial" w:cs="Arial"/>
          <w:b/>
          <w:bCs/>
          <w:color w:val="1078B9"/>
          <w:sz w:val="42"/>
          <w:szCs w:val="42"/>
        </w:rPr>
      </w:pPr>
      <w:r w:rsidRPr="00310970">
        <w:rPr>
          <w:rFonts w:ascii="Arial" w:hAnsi="Arial" w:cs="Arial"/>
          <w:b/>
          <w:bCs/>
          <w:color w:val="1078B9"/>
          <w:sz w:val="42"/>
          <w:szCs w:val="42"/>
        </w:rPr>
        <w:lastRenderedPageBreak/>
        <w:t xml:space="preserve">Document Management </w:t>
      </w:r>
    </w:p>
    <w:p w14:paraId="1BAC656F" w14:textId="73D424A5" w:rsidR="003865E6" w:rsidRPr="00B748E3" w:rsidRDefault="00C93629" w:rsidP="00DE4BAF">
      <w:pPr>
        <w:spacing w:line="276" w:lineRule="auto"/>
        <w:rPr>
          <w:rFonts w:ascii="Arial" w:hAnsi="Arial" w:cs="Arial"/>
          <w:color w:val="000000" w:themeColor="text1"/>
        </w:rPr>
      </w:pPr>
      <w:r w:rsidRPr="00B748E3">
        <w:rPr>
          <w:rFonts w:ascii="Arial" w:hAnsi="Arial" w:cs="Arial"/>
        </w:rPr>
        <w:t>Th</w:t>
      </w:r>
      <w:r w:rsidR="00C14A11">
        <w:rPr>
          <w:rFonts w:ascii="Arial" w:hAnsi="Arial" w:cs="Arial"/>
        </w:rPr>
        <w:t xml:space="preserve">is is Appendix </w:t>
      </w:r>
      <w:r w:rsidR="007C0FED">
        <w:rPr>
          <w:rFonts w:ascii="Arial" w:hAnsi="Arial" w:cs="Arial"/>
        </w:rPr>
        <w:t>D</w:t>
      </w:r>
      <w:r w:rsidR="00C14A11">
        <w:rPr>
          <w:rFonts w:ascii="Arial" w:hAnsi="Arial" w:cs="Arial"/>
        </w:rPr>
        <w:t xml:space="preserve"> of the</w:t>
      </w:r>
      <w:r w:rsidRPr="00B748E3">
        <w:rPr>
          <w:rFonts w:ascii="Arial" w:hAnsi="Arial" w:cs="Arial"/>
        </w:rPr>
        <w:t xml:space="preserve"> final report</w:t>
      </w:r>
      <w:r w:rsidR="00C14A11">
        <w:rPr>
          <w:rFonts w:ascii="Arial" w:hAnsi="Arial" w:cs="Arial"/>
        </w:rPr>
        <w:t>.</w:t>
      </w:r>
    </w:p>
    <w:p w14:paraId="77C64FE0" w14:textId="3FBC0A8C" w:rsidR="00C93629" w:rsidRPr="003865E6" w:rsidRDefault="00C93629" w:rsidP="00DE4BAF">
      <w:pPr>
        <w:pStyle w:val="NormalWeb"/>
        <w:spacing w:line="276" w:lineRule="auto"/>
        <w:rPr>
          <w:rFonts w:ascii="Arial" w:hAnsi="Arial" w:cs="Arial"/>
          <w:b/>
          <w:bCs/>
          <w:color w:val="1078B9"/>
          <w:sz w:val="22"/>
          <w:szCs w:val="22"/>
        </w:rPr>
      </w:pPr>
      <w:r w:rsidRPr="003865E6">
        <w:rPr>
          <w:rFonts w:ascii="Arial,Bold" w:hAnsi="Arial,Bold"/>
          <w:b/>
          <w:bCs/>
          <w:color w:val="1078B9"/>
          <w:sz w:val="28"/>
          <w:szCs w:val="28"/>
        </w:rPr>
        <w:t xml:space="preserve">Revision History </w:t>
      </w:r>
    </w:p>
    <w:tbl>
      <w:tblPr>
        <w:tblStyle w:val="TableGrid"/>
        <w:tblW w:w="9606" w:type="dxa"/>
        <w:tblLook w:val="04A0" w:firstRow="1" w:lastRow="0" w:firstColumn="1" w:lastColumn="0" w:noHBand="0" w:noVBand="1"/>
      </w:tblPr>
      <w:tblGrid>
        <w:gridCol w:w="1526"/>
        <w:gridCol w:w="1843"/>
        <w:gridCol w:w="6237"/>
      </w:tblGrid>
      <w:tr w:rsidR="00C93629" w14:paraId="0F5A7D87" w14:textId="77777777" w:rsidTr="00B748E3">
        <w:tc>
          <w:tcPr>
            <w:tcW w:w="1526" w:type="dxa"/>
          </w:tcPr>
          <w:p w14:paraId="0DF32D5A" w14:textId="77777777" w:rsidR="00C93629" w:rsidRPr="00B748E3" w:rsidRDefault="00C93629" w:rsidP="00DE4BAF">
            <w:pPr>
              <w:pStyle w:val="NormalWeb"/>
              <w:spacing w:before="120" w:beforeAutospacing="0" w:after="120" w:afterAutospacing="0" w:line="276" w:lineRule="auto"/>
              <w:ind w:firstLine="357"/>
              <w:rPr>
                <w:sz w:val="24"/>
                <w:szCs w:val="24"/>
              </w:rPr>
            </w:pPr>
            <w:r w:rsidRPr="00B748E3">
              <w:rPr>
                <w:rFonts w:ascii="Arial,Bold" w:hAnsi="Arial,Bold"/>
                <w:sz w:val="24"/>
                <w:szCs w:val="24"/>
              </w:rPr>
              <w:t xml:space="preserve">Version </w:t>
            </w:r>
          </w:p>
        </w:tc>
        <w:tc>
          <w:tcPr>
            <w:tcW w:w="1843" w:type="dxa"/>
          </w:tcPr>
          <w:p w14:paraId="451F9B9A" w14:textId="77777777" w:rsidR="00C93629" w:rsidRPr="00B748E3" w:rsidRDefault="00C93629" w:rsidP="00DE4BAF">
            <w:pPr>
              <w:pStyle w:val="NormalWeb"/>
              <w:spacing w:before="120" w:beforeAutospacing="0" w:after="120" w:afterAutospacing="0" w:line="276" w:lineRule="auto"/>
              <w:ind w:firstLine="357"/>
              <w:rPr>
                <w:sz w:val="24"/>
                <w:szCs w:val="24"/>
              </w:rPr>
            </w:pPr>
            <w:r w:rsidRPr="00B748E3">
              <w:rPr>
                <w:rFonts w:ascii="Arial,Bold" w:hAnsi="Arial,Bold"/>
                <w:sz w:val="24"/>
                <w:szCs w:val="24"/>
              </w:rPr>
              <w:t xml:space="preserve">Date </w:t>
            </w:r>
          </w:p>
        </w:tc>
        <w:tc>
          <w:tcPr>
            <w:tcW w:w="6237" w:type="dxa"/>
          </w:tcPr>
          <w:p w14:paraId="68A14ED7" w14:textId="77777777" w:rsidR="00C93629" w:rsidRPr="00B748E3" w:rsidRDefault="00C93629" w:rsidP="00DE4BAF">
            <w:pPr>
              <w:pStyle w:val="NormalWeb"/>
              <w:spacing w:before="120" w:beforeAutospacing="0" w:after="120" w:afterAutospacing="0" w:line="276" w:lineRule="auto"/>
              <w:ind w:firstLine="357"/>
              <w:rPr>
                <w:sz w:val="24"/>
                <w:szCs w:val="24"/>
              </w:rPr>
            </w:pPr>
            <w:r w:rsidRPr="00B748E3">
              <w:rPr>
                <w:rFonts w:ascii="Arial,Bold" w:hAnsi="Arial,Bold"/>
                <w:sz w:val="24"/>
                <w:szCs w:val="24"/>
              </w:rPr>
              <w:t xml:space="preserve">Summary of Changes </w:t>
            </w:r>
          </w:p>
        </w:tc>
      </w:tr>
      <w:tr w:rsidR="00C93629" w14:paraId="2527D38A" w14:textId="77777777" w:rsidTr="00B748E3">
        <w:trPr>
          <w:trHeight w:val="517"/>
        </w:trPr>
        <w:tc>
          <w:tcPr>
            <w:tcW w:w="1526" w:type="dxa"/>
          </w:tcPr>
          <w:p w14:paraId="1D8E5B58" w14:textId="77777777" w:rsidR="00C93629" w:rsidRPr="00B748E3" w:rsidRDefault="00C93629" w:rsidP="00DE4BAF">
            <w:pPr>
              <w:pStyle w:val="NormalWeb"/>
              <w:spacing w:before="120" w:beforeAutospacing="0" w:after="120" w:afterAutospacing="0" w:line="276" w:lineRule="auto"/>
              <w:ind w:firstLine="357"/>
              <w:rPr>
                <w:rFonts w:ascii="Arial" w:hAnsi="Arial" w:cs="Arial"/>
                <w:sz w:val="24"/>
                <w:szCs w:val="24"/>
              </w:rPr>
            </w:pPr>
            <w:r w:rsidRPr="00B748E3">
              <w:rPr>
                <w:rFonts w:ascii="Arial" w:hAnsi="Arial" w:cs="Arial"/>
                <w:sz w:val="24"/>
                <w:szCs w:val="24"/>
              </w:rPr>
              <w:t xml:space="preserve">0.1 </w:t>
            </w:r>
          </w:p>
        </w:tc>
        <w:tc>
          <w:tcPr>
            <w:tcW w:w="1843" w:type="dxa"/>
          </w:tcPr>
          <w:p w14:paraId="7952F464" w14:textId="15F925FD" w:rsidR="00C93629" w:rsidRPr="00B748E3" w:rsidRDefault="00C14A11" w:rsidP="00DE4BAF">
            <w:pPr>
              <w:pStyle w:val="NormalWeb"/>
              <w:spacing w:before="120" w:beforeAutospacing="0" w:after="120" w:afterAutospacing="0" w:line="276" w:lineRule="auto"/>
              <w:ind w:firstLine="357"/>
              <w:rPr>
                <w:rFonts w:ascii="Arial" w:hAnsi="Arial" w:cs="Arial"/>
                <w:sz w:val="24"/>
                <w:szCs w:val="24"/>
              </w:rPr>
            </w:pPr>
            <w:r>
              <w:rPr>
                <w:rFonts w:ascii="Arial" w:hAnsi="Arial" w:cs="Arial"/>
                <w:sz w:val="24"/>
                <w:szCs w:val="24"/>
              </w:rPr>
              <w:t>10.02.2020</w:t>
            </w:r>
          </w:p>
        </w:tc>
        <w:tc>
          <w:tcPr>
            <w:tcW w:w="6237" w:type="dxa"/>
          </w:tcPr>
          <w:p w14:paraId="7E768DB8" w14:textId="123318E1" w:rsidR="00C93629" w:rsidRPr="00B748E3" w:rsidRDefault="00C93629" w:rsidP="00DE4BAF">
            <w:pPr>
              <w:pStyle w:val="NormalWeb"/>
              <w:spacing w:before="120" w:beforeAutospacing="0" w:after="120" w:afterAutospacing="0" w:line="276" w:lineRule="auto"/>
              <w:ind w:firstLine="357"/>
              <w:rPr>
                <w:sz w:val="24"/>
                <w:szCs w:val="24"/>
              </w:rPr>
            </w:pPr>
            <w:r w:rsidRPr="00B748E3">
              <w:rPr>
                <w:rFonts w:ascii="Arial" w:hAnsi="Arial" w:cs="Arial"/>
                <w:sz w:val="24"/>
                <w:szCs w:val="24"/>
              </w:rPr>
              <w:t xml:space="preserve">First draft </w:t>
            </w:r>
          </w:p>
        </w:tc>
      </w:tr>
      <w:tr w:rsidR="00CD2AA3" w14:paraId="09E6CC30" w14:textId="77777777" w:rsidTr="00B748E3">
        <w:trPr>
          <w:trHeight w:val="517"/>
        </w:trPr>
        <w:tc>
          <w:tcPr>
            <w:tcW w:w="1526" w:type="dxa"/>
          </w:tcPr>
          <w:p w14:paraId="0EFF8093" w14:textId="498EAF5B" w:rsidR="00CD2AA3" w:rsidRPr="00CD2AA3" w:rsidRDefault="00CD2AA3" w:rsidP="00DE4BAF">
            <w:pPr>
              <w:pStyle w:val="NormalWeb"/>
              <w:spacing w:before="120" w:beforeAutospacing="0" w:after="120" w:afterAutospacing="0" w:line="276" w:lineRule="auto"/>
              <w:ind w:firstLine="357"/>
              <w:rPr>
                <w:rFonts w:ascii="Arial" w:hAnsi="Arial" w:cs="Arial"/>
                <w:sz w:val="24"/>
                <w:szCs w:val="24"/>
              </w:rPr>
            </w:pPr>
            <w:r w:rsidRPr="00CD2AA3">
              <w:rPr>
                <w:rFonts w:ascii="Arial" w:hAnsi="Arial" w:cs="Arial"/>
                <w:sz w:val="24"/>
                <w:szCs w:val="24"/>
              </w:rPr>
              <w:t>0.2</w:t>
            </w:r>
          </w:p>
        </w:tc>
        <w:tc>
          <w:tcPr>
            <w:tcW w:w="1843" w:type="dxa"/>
          </w:tcPr>
          <w:p w14:paraId="7AF4370E" w14:textId="768098B9" w:rsidR="00CD2AA3" w:rsidRPr="00CD2AA3" w:rsidRDefault="00CD2AA3" w:rsidP="00DE4BAF">
            <w:pPr>
              <w:pStyle w:val="NormalWeb"/>
              <w:spacing w:before="120" w:beforeAutospacing="0" w:after="120" w:afterAutospacing="0" w:line="276" w:lineRule="auto"/>
              <w:ind w:firstLine="357"/>
              <w:rPr>
                <w:rFonts w:ascii="Arial" w:hAnsi="Arial" w:cs="Arial"/>
                <w:sz w:val="24"/>
                <w:szCs w:val="24"/>
              </w:rPr>
            </w:pPr>
            <w:r w:rsidRPr="00CD2AA3">
              <w:rPr>
                <w:rFonts w:ascii="Arial" w:hAnsi="Arial" w:cs="Arial"/>
                <w:sz w:val="24"/>
                <w:szCs w:val="24"/>
              </w:rPr>
              <w:t>18.02.2020</w:t>
            </w:r>
          </w:p>
        </w:tc>
        <w:tc>
          <w:tcPr>
            <w:tcW w:w="6237" w:type="dxa"/>
          </w:tcPr>
          <w:p w14:paraId="05F10202" w14:textId="75D81FF9" w:rsidR="00CD2AA3" w:rsidRPr="00CD2AA3" w:rsidRDefault="00CD2AA3" w:rsidP="00DE4BAF">
            <w:pPr>
              <w:pStyle w:val="NormalWeb"/>
              <w:spacing w:before="120" w:beforeAutospacing="0" w:after="120" w:afterAutospacing="0" w:line="276" w:lineRule="auto"/>
              <w:ind w:firstLine="357"/>
              <w:rPr>
                <w:rFonts w:ascii="Arial" w:hAnsi="Arial" w:cs="Arial"/>
                <w:sz w:val="24"/>
                <w:szCs w:val="24"/>
              </w:rPr>
            </w:pPr>
            <w:r w:rsidRPr="00CD2AA3">
              <w:rPr>
                <w:rFonts w:ascii="Arial" w:hAnsi="Arial" w:cs="Arial"/>
                <w:sz w:val="24"/>
                <w:szCs w:val="24"/>
              </w:rPr>
              <w:t>Updated after final review</w:t>
            </w:r>
          </w:p>
        </w:tc>
      </w:tr>
    </w:tbl>
    <w:p w14:paraId="4FDCDE99" w14:textId="77777777" w:rsidR="00D65409" w:rsidRDefault="00D65409" w:rsidP="00DE4BAF">
      <w:pPr>
        <w:spacing w:line="276" w:lineRule="auto"/>
      </w:pPr>
    </w:p>
    <w:p w14:paraId="675464A7" w14:textId="77777777" w:rsidR="006B0C42" w:rsidRDefault="006B0C42" w:rsidP="00DE4BAF">
      <w:pPr>
        <w:spacing w:line="276" w:lineRule="auto"/>
        <w:rPr>
          <w:rFonts w:ascii="Arial" w:hAnsi="Arial"/>
          <w:b/>
          <w:color w:val="0070C0"/>
          <w:sz w:val="35"/>
          <w:szCs w:val="35"/>
        </w:rPr>
      </w:pPr>
      <w:r>
        <w:rPr>
          <w:color w:val="0070C0"/>
          <w:szCs w:val="35"/>
        </w:rPr>
        <w:br w:type="page"/>
      </w:r>
    </w:p>
    <w:p w14:paraId="2BA6490A" w14:textId="77777777" w:rsidR="00C93629" w:rsidRPr="00664481" w:rsidRDefault="00C93629" w:rsidP="00DE4BAF">
      <w:pPr>
        <w:pStyle w:val="DocMgmtSubhead"/>
        <w:spacing w:line="276" w:lineRule="auto"/>
        <w:rPr>
          <w:color w:val="0070C0"/>
          <w:szCs w:val="35"/>
        </w:rPr>
      </w:pPr>
      <w:r w:rsidRPr="00664481">
        <w:rPr>
          <w:color w:val="0070C0"/>
          <w:szCs w:val="35"/>
        </w:rPr>
        <w:lastRenderedPageBreak/>
        <w:t>Reviewers</w:t>
      </w:r>
    </w:p>
    <w:p w14:paraId="254CCD77" w14:textId="77777777" w:rsidR="00C93629" w:rsidRPr="00B748E3" w:rsidRDefault="00C93629" w:rsidP="00DE4BAF">
      <w:pPr>
        <w:spacing w:line="276" w:lineRule="auto"/>
        <w:rPr>
          <w:rFonts w:ascii="Arial" w:hAnsi="Arial" w:cs="Arial"/>
        </w:rPr>
      </w:pPr>
      <w:r w:rsidRPr="00B748E3">
        <w:rPr>
          <w:rFonts w:ascii="Arial" w:hAnsi="Arial" w:cs="Arial"/>
        </w:rPr>
        <w:t xml:space="preserve">This document must be reviewed by the following people: </w:t>
      </w:r>
    </w:p>
    <w:p w14:paraId="0E7316FD" w14:textId="77777777" w:rsidR="00C93629" w:rsidRPr="00B748E3" w:rsidRDefault="00C93629" w:rsidP="00DE4BAF">
      <w:pPr>
        <w:spacing w:line="276" w:lineRule="auto"/>
      </w:pPr>
    </w:p>
    <w:tbl>
      <w:tblPr>
        <w:tblW w:w="4905"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3436"/>
        <w:gridCol w:w="5625"/>
      </w:tblGrid>
      <w:tr w:rsidR="00C93629" w:rsidRPr="00B748E3" w14:paraId="0499A5CD" w14:textId="77777777" w:rsidTr="00192A85">
        <w:tc>
          <w:tcPr>
            <w:tcW w:w="1896" w:type="pct"/>
            <w:tcBorders>
              <w:top w:val="single" w:sz="2" w:space="0" w:color="000000"/>
              <w:bottom w:val="single" w:sz="2" w:space="0" w:color="000000"/>
              <w:right w:val="nil"/>
            </w:tcBorders>
          </w:tcPr>
          <w:p w14:paraId="7045A9B2" w14:textId="77777777" w:rsidR="00C93629" w:rsidRPr="00B748E3" w:rsidRDefault="00C93629" w:rsidP="00DE4BAF">
            <w:pPr>
              <w:pStyle w:val="TableHeader"/>
              <w:spacing w:line="276" w:lineRule="auto"/>
              <w:rPr>
                <w:sz w:val="24"/>
                <w:lang w:val="en-GB"/>
              </w:rPr>
            </w:pPr>
            <w:r w:rsidRPr="00B748E3">
              <w:rPr>
                <w:sz w:val="24"/>
                <w:lang w:val="en-GB"/>
              </w:rPr>
              <w:t>Reviewer name</w:t>
            </w:r>
          </w:p>
        </w:tc>
        <w:tc>
          <w:tcPr>
            <w:tcW w:w="3104" w:type="pct"/>
            <w:tcBorders>
              <w:top w:val="single" w:sz="2" w:space="0" w:color="000000"/>
              <w:left w:val="nil"/>
              <w:bottom w:val="single" w:sz="2" w:space="0" w:color="000000"/>
              <w:right w:val="nil"/>
            </w:tcBorders>
            <w:shd w:val="clear" w:color="auto" w:fill="auto"/>
          </w:tcPr>
          <w:p w14:paraId="3B8BFDF0" w14:textId="77777777" w:rsidR="00C93629" w:rsidRPr="00B748E3" w:rsidRDefault="00C93629" w:rsidP="00DE4BAF">
            <w:pPr>
              <w:pStyle w:val="TableHeader"/>
              <w:spacing w:line="276" w:lineRule="auto"/>
              <w:rPr>
                <w:sz w:val="24"/>
                <w:lang w:val="en-GB"/>
              </w:rPr>
            </w:pPr>
            <w:r w:rsidRPr="00B748E3">
              <w:rPr>
                <w:sz w:val="24"/>
                <w:lang w:val="en-GB"/>
              </w:rPr>
              <w:t>Title / Responsibility</w:t>
            </w:r>
          </w:p>
        </w:tc>
      </w:tr>
      <w:tr w:rsidR="00C93629" w:rsidRPr="00B748E3" w14:paraId="33CBBEFE" w14:textId="77777777" w:rsidTr="00192A85">
        <w:tc>
          <w:tcPr>
            <w:tcW w:w="1896" w:type="pct"/>
            <w:tcBorders>
              <w:right w:val="single" w:sz="2" w:space="0" w:color="B9B9B9"/>
            </w:tcBorders>
            <w:vAlign w:val="center"/>
          </w:tcPr>
          <w:p w14:paraId="157A5323" w14:textId="77777777" w:rsidR="00C93629" w:rsidRPr="00B748E3" w:rsidRDefault="00C93629" w:rsidP="00DE4BAF">
            <w:pPr>
              <w:pStyle w:val="TableText"/>
              <w:spacing w:line="276" w:lineRule="auto"/>
              <w:rPr>
                <w:rFonts w:cs="Arial"/>
                <w:sz w:val="24"/>
              </w:rPr>
            </w:pPr>
            <w:r w:rsidRPr="00B748E3">
              <w:rPr>
                <w:rFonts w:cs="Arial"/>
                <w:sz w:val="24"/>
              </w:rPr>
              <w:t>Assurance Committee</w:t>
            </w:r>
          </w:p>
        </w:tc>
        <w:tc>
          <w:tcPr>
            <w:tcW w:w="3104" w:type="pct"/>
            <w:tcBorders>
              <w:left w:val="single" w:sz="2" w:space="0" w:color="B9B9B9"/>
              <w:right w:val="single" w:sz="2" w:space="0" w:color="B9B9B9"/>
            </w:tcBorders>
            <w:shd w:val="clear" w:color="auto" w:fill="auto"/>
            <w:vAlign w:val="center"/>
          </w:tcPr>
          <w:p w14:paraId="10D418E5" w14:textId="77777777" w:rsidR="00C93629" w:rsidRPr="00B748E3" w:rsidRDefault="00C93629" w:rsidP="00DE4BAF">
            <w:pPr>
              <w:pStyle w:val="TableText"/>
              <w:spacing w:line="276" w:lineRule="auto"/>
              <w:rPr>
                <w:rFonts w:cs="Arial"/>
                <w:sz w:val="24"/>
              </w:rPr>
            </w:pPr>
            <w:r w:rsidRPr="00B748E3">
              <w:rPr>
                <w:rFonts w:cs="Arial"/>
                <w:sz w:val="24"/>
              </w:rPr>
              <w:t>PRSB Assurance Committee</w:t>
            </w:r>
          </w:p>
        </w:tc>
      </w:tr>
      <w:tr w:rsidR="00C93629" w:rsidRPr="00B748E3" w14:paraId="6FBC3939" w14:textId="77777777" w:rsidTr="00192A85">
        <w:tc>
          <w:tcPr>
            <w:tcW w:w="1896" w:type="pct"/>
            <w:tcBorders>
              <w:right w:val="single" w:sz="2" w:space="0" w:color="B9B9B9"/>
            </w:tcBorders>
            <w:vAlign w:val="center"/>
          </w:tcPr>
          <w:p w14:paraId="2A6AD9C9" w14:textId="77777777" w:rsidR="00C93629" w:rsidRPr="00B748E3" w:rsidRDefault="00C93629" w:rsidP="00DE4BAF">
            <w:pPr>
              <w:pStyle w:val="TableText"/>
              <w:spacing w:line="276" w:lineRule="auto"/>
              <w:rPr>
                <w:rFonts w:cs="Arial"/>
                <w:sz w:val="24"/>
              </w:rPr>
            </w:pPr>
            <w:r w:rsidRPr="00B748E3">
              <w:rPr>
                <w:rFonts w:cs="Arial"/>
                <w:sz w:val="24"/>
              </w:rPr>
              <w:t>Dr Afzal Chaudhry</w:t>
            </w:r>
          </w:p>
        </w:tc>
        <w:tc>
          <w:tcPr>
            <w:tcW w:w="3104" w:type="pct"/>
            <w:tcBorders>
              <w:left w:val="single" w:sz="2" w:space="0" w:color="B9B9B9"/>
              <w:right w:val="single" w:sz="2" w:space="0" w:color="B9B9B9"/>
            </w:tcBorders>
            <w:shd w:val="clear" w:color="auto" w:fill="auto"/>
            <w:vAlign w:val="center"/>
          </w:tcPr>
          <w:p w14:paraId="6031C0BF" w14:textId="77777777" w:rsidR="00C93629" w:rsidRPr="00B748E3" w:rsidRDefault="00C93629" w:rsidP="00DE4BAF">
            <w:pPr>
              <w:pStyle w:val="TableText"/>
              <w:spacing w:line="276" w:lineRule="auto"/>
              <w:rPr>
                <w:rFonts w:cs="Arial"/>
                <w:sz w:val="24"/>
              </w:rPr>
            </w:pPr>
            <w:r w:rsidRPr="00B748E3">
              <w:rPr>
                <w:rFonts w:cs="Arial"/>
                <w:sz w:val="24"/>
              </w:rPr>
              <w:t>PRSB Vice Chair, CMIO Cambridge University Hospitals NHS FT</w:t>
            </w:r>
          </w:p>
        </w:tc>
      </w:tr>
      <w:tr w:rsidR="00C93629" w:rsidRPr="00B748E3" w14:paraId="001CB4DF" w14:textId="77777777" w:rsidTr="00192A85">
        <w:tc>
          <w:tcPr>
            <w:tcW w:w="1896" w:type="pct"/>
            <w:tcBorders>
              <w:right w:val="single" w:sz="2" w:space="0" w:color="B9B9B9"/>
            </w:tcBorders>
            <w:vAlign w:val="center"/>
          </w:tcPr>
          <w:p w14:paraId="24D230D5" w14:textId="77777777" w:rsidR="00C93629" w:rsidRPr="00B748E3" w:rsidRDefault="00C93629" w:rsidP="00DE4BAF">
            <w:pPr>
              <w:pStyle w:val="TableText"/>
              <w:spacing w:line="276" w:lineRule="auto"/>
              <w:rPr>
                <w:rFonts w:cs="Arial"/>
                <w:sz w:val="24"/>
              </w:rPr>
            </w:pPr>
            <w:r w:rsidRPr="00B748E3">
              <w:rPr>
                <w:rFonts w:cs="Arial"/>
                <w:sz w:val="24"/>
              </w:rPr>
              <w:t>Dr Reecha Sofat</w:t>
            </w:r>
          </w:p>
        </w:tc>
        <w:tc>
          <w:tcPr>
            <w:tcW w:w="3104" w:type="pct"/>
            <w:tcBorders>
              <w:left w:val="single" w:sz="2" w:space="0" w:color="B9B9B9"/>
              <w:right w:val="single" w:sz="2" w:space="0" w:color="B9B9B9"/>
            </w:tcBorders>
            <w:shd w:val="clear" w:color="auto" w:fill="auto"/>
            <w:vAlign w:val="center"/>
          </w:tcPr>
          <w:p w14:paraId="2EA8282F" w14:textId="77777777" w:rsidR="00C93629" w:rsidRPr="00B748E3" w:rsidRDefault="00C93629" w:rsidP="00DE4BAF">
            <w:pPr>
              <w:spacing w:before="120" w:after="120" w:line="276" w:lineRule="auto"/>
              <w:rPr>
                <w:rFonts w:ascii="Arial" w:hAnsi="Arial" w:cs="Arial"/>
              </w:rPr>
            </w:pPr>
            <w:r w:rsidRPr="00B748E3">
              <w:rPr>
                <w:rFonts w:ascii="Arial" w:hAnsi="Arial" w:cs="Arial"/>
              </w:rPr>
              <w:t>Clinical Lead, Associate Professor Institute of Health Informatics, University College London</w:t>
            </w:r>
          </w:p>
          <w:p w14:paraId="041A4D86" w14:textId="77777777" w:rsidR="00C93629" w:rsidRPr="00B748E3" w:rsidRDefault="00C93629" w:rsidP="00DE4BAF">
            <w:pPr>
              <w:spacing w:before="120" w:after="120" w:line="276" w:lineRule="auto"/>
              <w:rPr>
                <w:rFonts w:ascii="Arial" w:hAnsi="Arial" w:cs="Arial"/>
              </w:rPr>
            </w:pPr>
            <w:r w:rsidRPr="00B748E3">
              <w:rPr>
                <w:rFonts w:ascii="Arial" w:hAnsi="Arial" w:cs="Arial"/>
              </w:rPr>
              <w:t>Consultant Clinical Pharmacology, GIM and Stroke UCLH Foundation Trust</w:t>
            </w:r>
          </w:p>
        </w:tc>
      </w:tr>
      <w:tr w:rsidR="00C93629" w:rsidRPr="00B748E3" w14:paraId="44B8EE84" w14:textId="77777777" w:rsidTr="00192A85">
        <w:tc>
          <w:tcPr>
            <w:tcW w:w="1896" w:type="pct"/>
            <w:tcBorders>
              <w:right w:val="single" w:sz="2" w:space="0" w:color="B9B9B9"/>
            </w:tcBorders>
            <w:vAlign w:val="center"/>
          </w:tcPr>
          <w:p w14:paraId="68538269" w14:textId="77777777" w:rsidR="00C93629" w:rsidRPr="00B748E3" w:rsidRDefault="00C93629" w:rsidP="00DE4BAF">
            <w:pPr>
              <w:pStyle w:val="TableText"/>
              <w:spacing w:line="276" w:lineRule="auto"/>
              <w:rPr>
                <w:rFonts w:cs="Arial"/>
                <w:sz w:val="24"/>
              </w:rPr>
            </w:pPr>
            <w:r w:rsidRPr="00B748E3">
              <w:rPr>
                <w:rFonts w:cs="Arial"/>
                <w:sz w:val="24"/>
              </w:rPr>
              <w:t>Lorraine Foley</w:t>
            </w:r>
          </w:p>
        </w:tc>
        <w:tc>
          <w:tcPr>
            <w:tcW w:w="3104" w:type="pct"/>
            <w:tcBorders>
              <w:left w:val="single" w:sz="2" w:space="0" w:color="B9B9B9"/>
              <w:right w:val="single" w:sz="2" w:space="0" w:color="B9B9B9"/>
            </w:tcBorders>
            <w:shd w:val="clear" w:color="auto" w:fill="auto"/>
            <w:vAlign w:val="center"/>
          </w:tcPr>
          <w:p w14:paraId="66BEE736" w14:textId="77777777" w:rsidR="00C93629" w:rsidRPr="00B748E3" w:rsidRDefault="00C93629" w:rsidP="00DE4BAF">
            <w:pPr>
              <w:pStyle w:val="TableText"/>
              <w:spacing w:line="276" w:lineRule="auto"/>
              <w:rPr>
                <w:rFonts w:cs="Arial"/>
                <w:sz w:val="24"/>
              </w:rPr>
            </w:pPr>
            <w:r w:rsidRPr="00B748E3">
              <w:rPr>
                <w:rFonts w:cs="Arial"/>
                <w:sz w:val="24"/>
              </w:rPr>
              <w:t>PRSB CEO</w:t>
            </w:r>
          </w:p>
        </w:tc>
      </w:tr>
      <w:tr w:rsidR="00C93629" w:rsidRPr="00B748E3" w14:paraId="654B72C0" w14:textId="77777777" w:rsidTr="00192A85">
        <w:tc>
          <w:tcPr>
            <w:tcW w:w="1896" w:type="pct"/>
            <w:tcBorders>
              <w:right w:val="single" w:sz="2" w:space="0" w:color="B9B9B9"/>
            </w:tcBorders>
            <w:vAlign w:val="center"/>
          </w:tcPr>
          <w:p w14:paraId="05A30703" w14:textId="77777777" w:rsidR="00C93629" w:rsidRPr="00B748E3" w:rsidRDefault="00C93629" w:rsidP="00DE4BAF">
            <w:pPr>
              <w:pStyle w:val="TableText"/>
              <w:spacing w:line="276" w:lineRule="auto"/>
              <w:rPr>
                <w:rFonts w:cs="Arial"/>
                <w:sz w:val="24"/>
              </w:rPr>
            </w:pPr>
            <w:r w:rsidRPr="00B748E3">
              <w:rPr>
                <w:rFonts w:cs="Arial"/>
                <w:sz w:val="24"/>
              </w:rPr>
              <w:t>Martin Orton</w:t>
            </w:r>
          </w:p>
        </w:tc>
        <w:tc>
          <w:tcPr>
            <w:tcW w:w="3104" w:type="pct"/>
            <w:tcBorders>
              <w:left w:val="single" w:sz="2" w:space="0" w:color="B9B9B9"/>
              <w:right w:val="single" w:sz="2" w:space="0" w:color="B9B9B9"/>
            </w:tcBorders>
            <w:shd w:val="clear" w:color="auto" w:fill="auto"/>
            <w:vAlign w:val="center"/>
          </w:tcPr>
          <w:p w14:paraId="5A50B563" w14:textId="77777777" w:rsidR="00C93629" w:rsidRPr="00B748E3" w:rsidRDefault="00C93629" w:rsidP="00DE4BAF">
            <w:pPr>
              <w:shd w:val="clear" w:color="auto" w:fill="FFFFFF"/>
              <w:spacing w:line="276" w:lineRule="auto"/>
              <w:rPr>
                <w:rFonts w:ascii="Arial" w:hAnsi="Arial" w:cs="Arial"/>
                <w:color w:val="000000"/>
              </w:rPr>
            </w:pPr>
            <w:r w:rsidRPr="00B748E3">
              <w:rPr>
                <w:rFonts w:ascii="Arial" w:hAnsi="Arial" w:cs="Arial"/>
              </w:rPr>
              <w:t>PRSB, Director of Delivery &amp; Development</w:t>
            </w:r>
          </w:p>
        </w:tc>
      </w:tr>
      <w:tr w:rsidR="00C93629" w:rsidRPr="00B748E3" w14:paraId="385184E5" w14:textId="77777777" w:rsidTr="00192A85">
        <w:tc>
          <w:tcPr>
            <w:tcW w:w="1896" w:type="pct"/>
            <w:tcBorders>
              <w:right w:val="single" w:sz="2" w:space="0" w:color="B9B9B9"/>
            </w:tcBorders>
            <w:vAlign w:val="center"/>
          </w:tcPr>
          <w:p w14:paraId="1A7E1D26" w14:textId="77777777" w:rsidR="00C93629" w:rsidRPr="00B748E3" w:rsidRDefault="00C93629" w:rsidP="00DE4BAF">
            <w:pPr>
              <w:pStyle w:val="TableText"/>
              <w:spacing w:line="276" w:lineRule="auto"/>
              <w:rPr>
                <w:rFonts w:cs="Arial"/>
                <w:sz w:val="24"/>
              </w:rPr>
            </w:pPr>
            <w:r w:rsidRPr="00B748E3">
              <w:rPr>
                <w:rFonts w:cs="Arial"/>
                <w:sz w:val="24"/>
              </w:rPr>
              <w:t>Helene Feger</w:t>
            </w:r>
          </w:p>
        </w:tc>
        <w:tc>
          <w:tcPr>
            <w:tcW w:w="3104" w:type="pct"/>
            <w:tcBorders>
              <w:left w:val="single" w:sz="2" w:space="0" w:color="B9B9B9"/>
              <w:right w:val="single" w:sz="2" w:space="0" w:color="B9B9B9"/>
            </w:tcBorders>
            <w:shd w:val="clear" w:color="auto" w:fill="auto"/>
            <w:vAlign w:val="center"/>
          </w:tcPr>
          <w:p w14:paraId="7330F5C5" w14:textId="77777777" w:rsidR="00C93629" w:rsidRPr="00B748E3" w:rsidRDefault="00C93629" w:rsidP="00DE4BAF">
            <w:pPr>
              <w:pStyle w:val="TableText"/>
              <w:spacing w:line="276" w:lineRule="auto"/>
              <w:rPr>
                <w:rFonts w:cs="Arial"/>
                <w:sz w:val="24"/>
              </w:rPr>
            </w:pPr>
            <w:r w:rsidRPr="00B748E3">
              <w:rPr>
                <w:rFonts w:cs="Arial"/>
                <w:sz w:val="24"/>
              </w:rPr>
              <w:t>PRSB, Director of Strategy, Communications and Engagement</w:t>
            </w:r>
          </w:p>
        </w:tc>
      </w:tr>
      <w:tr w:rsidR="00C93629" w:rsidRPr="00B748E3" w14:paraId="7B86C428" w14:textId="77777777" w:rsidTr="00192A85">
        <w:tc>
          <w:tcPr>
            <w:tcW w:w="1896" w:type="pct"/>
            <w:tcBorders>
              <w:right w:val="single" w:sz="2" w:space="0" w:color="B9B9B9"/>
            </w:tcBorders>
            <w:vAlign w:val="center"/>
          </w:tcPr>
          <w:p w14:paraId="2A64289F" w14:textId="77777777" w:rsidR="00C93629" w:rsidRPr="00B748E3" w:rsidRDefault="00C93629" w:rsidP="00DE4BAF">
            <w:pPr>
              <w:pStyle w:val="TableText"/>
              <w:spacing w:line="276" w:lineRule="auto"/>
              <w:rPr>
                <w:rFonts w:cs="Arial"/>
                <w:sz w:val="24"/>
              </w:rPr>
            </w:pPr>
            <w:r w:rsidRPr="00B748E3">
              <w:rPr>
                <w:rFonts w:cs="Arial"/>
                <w:sz w:val="24"/>
              </w:rPr>
              <w:t>Project Board</w:t>
            </w:r>
          </w:p>
        </w:tc>
        <w:tc>
          <w:tcPr>
            <w:tcW w:w="3104" w:type="pct"/>
            <w:tcBorders>
              <w:left w:val="single" w:sz="2" w:space="0" w:color="B9B9B9"/>
              <w:right w:val="single" w:sz="2" w:space="0" w:color="B9B9B9"/>
            </w:tcBorders>
            <w:shd w:val="clear" w:color="auto" w:fill="auto"/>
            <w:vAlign w:val="center"/>
          </w:tcPr>
          <w:p w14:paraId="5F773706" w14:textId="77777777" w:rsidR="00C93629" w:rsidRPr="00B748E3" w:rsidRDefault="00C93629" w:rsidP="00DE4BAF">
            <w:pPr>
              <w:pStyle w:val="TableText"/>
              <w:spacing w:line="276" w:lineRule="auto"/>
              <w:rPr>
                <w:rFonts w:cs="Arial"/>
                <w:sz w:val="24"/>
              </w:rPr>
            </w:pPr>
            <w:r w:rsidRPr="00B748E3">
              <w:rPr>
                <w:rFonts w:cs="Arial"/>
                <w:sz w:val="24"/>
              </w:rPr>
              <w:t>Project Board</w:t>
            </w:r>
          </w:p>
        </w:tc>
      </w:tr>
    </w:tbl>
    <w:p w14:paraId="7C2030B5" w14:textId="77777777" w:rsidR="00C93629" w:rsidRDefault="00C93629" w:rsidP="00DE4BAF">
      <w:pPr>
        <w:tabs>
          <w:tab w:val="left" w:pos="2678"/>
        </w:tabs>
        <w:spacing w:line="276" w:lineRule="auto"/>
      </w:pPr>
    </w:p>
    <w:p w14:paraId="79F98B75" w14:textId="77777777" w:rsidR="00C93629" w:rsidRPr="00664481" w:rsidRDefault="00C93629" w:rsidP="00DE4BAF">
      <w:pPr>
        <w:pStyle w:val="DocMgmtSubhead"/>
        <w:spacing w:line="276" w:lineRule="auto"/>
        <w:rPr>
          <w:color w:val="0070C0"/>
          <w:szCs w:val="35"/>
        </w:rPr>
      </w:pPr>
      <w:bookmarkStart w:id="0" w:name="_Toc350847282"/>
      <w:bookmarkStart w:id="1" w:name="_Toc350847326"/>
      <w:r w:rsidRPr="00664481">
        <w:rPr>
          <w:color w:val="0070C0"/>
          <w:szCs w:val="35"/>
        </w:rPr>
        <w:t>Approved by</w:t>
      </w:r>
      <w:bookmarkEnd w:id="0"/>
      <w:bookmarkEnd w:id="1"/>
    </w:p>
    <w:p w14:paraId="75680382" w14:textId="77777777" w:rsidR="00C93629" w:rsidRPr="00B748E3" w:rsidRDefault="00C93629" w:rsidP="00DE4BAF">
      <w:pPr>
        <w:spacing w:line="276" w:lineRule="auto"/>
        <w:rPr>
          <w:rFonts w:ascii="Arial" w:hAnsi="Arial" w:cs="Arial"/>
        </w:rPr>
      </w:pPr>
      <w:r w:rsidRPr="00B748E3">
        <w:rPr>
          <w:rFonts w:ascii="Arial" w:hAnsi="Arial" w:cs="Arial"/>
        </w:rPr>
        <w:t xml:space="preserve">This document must be approved by the following people: </w:t>
      </w:r>
    </w:p>
    <w:p w14:paraId="325B83BE" w14:textId="77777777" w:rsidR="00C93629" w:rsidRPr="00CB2DA3" w:rsidRDefault="00C93629" w:rsidP="00DE4BAF">
      <w:pPr>
        <w:spacing w:line="276" w:lineRule="auto"/>
        <w:rPr>
          <w:rFonts w:ascii="Arial" w:hAnsi="Arial" w:cs="Arial"/>
        </w:rPr>
      </w:pPr>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2504"/>
        <w:gridCol w:w="2093"/>
        <w:gridCol w:w="2206"/>
        <w:gridCol w:w="1352"/>
        <w:gridCol w:w="1081"/>
      </w:tblGrid>
      <w:tr w:rsidR="00C93629" w:rsidRPr="00B476EC" w14:paraId="3A45E3EB" w14:textId="77777777" w:rsidTr="00192A85">
        <w:trPr>
          <w:trHeight w:val="290"/>
        </w:trPr>
        <w:tc>
          <w:tcPr>
            <w:tcW w:w="1356" w:type="pct"/>
            <w:tcBorders>
              <w:top w:val="single" w:sz="2" w:space="0" w:color="000000"/>
              <w:bottom w:val="single" w:sz="2" w:space="0" w:color="000000"/>
            </w:tcBorders>
          </w:tcPr>
          <w:p w14:paraId="7BD9F10D" w14:textId="77777777" w:rsidR="00C93629" w:rsidRPr="00B476EC" w:rsidRDefault="00C93629" w:rsidP="00DE4BAF">
            <w:pPr>
              <w:pStyle w:val="TableHeader"/>
              <w:spacing w:line="276" w:lineRule="auto"/>
              <w:rPr>
                <w:lang w:val="en-GB"/>
              </w:rPr>
            </w:pPr>
            <w:r w:rsidRPr="00B476EC">
              <w:rPr>
                <w:lang w:val="en-GB"/>
              </w:rPr>
              <w:t>Name</w:t>
            </w:r>
          </w:p>
        </w:tc>
        <w:tc>
          <w:tcPr>
            <w:tcW w:w="1133" w:type="pct"/>
            <w:tcBorders>
              <w:top w:val="single" w:sz="2" w:space="0" w:color="000000"/>
              <w:bottom w:val="single" w:sz="2" w:space="0" w:color="000000"/>
            </w:tcBorders>
          </w:tcPr>
          <w:p w14:paraId="7301888A" w14:textId="77777777" w:rsidR="00C93629" w:rsidRPr="00B476EC" w:rsidRDefault="00C93629" w:rsidP="00DE4BAF">
            <w:pPr>
              <w:pStyle w:val="TableHeader"/>
              <w:spacing w:line="276" w:lineRule="auto"/>
              <w:rPr>
                <w:lang w:val="en-GB"/>
              </w:rPr>
            </w:pPr>
            <w:r w:rsidRPr="00B476EC">
              <w:rPr>
                <w:lang w:val="en-GB"/>
              </w:rPr>
              <w:t>Signature</w:t>
            </w:r>
          </w:p>
        </w:tc>
        <w:tc>
          <w:tcPr>
            <w:tcW w:w="1194" w:type="pct"/>
            <w:tcBorders>
              <w:top w:val="single" w:sz="2" w:space="0" w:color="000000"/>
              <w:bottom w:val="single" w:sz="2" w:space="0" w:color="000000"/>
            </w:tcBorders>
          </w:tcPr>
          <w:p w14:paraId="1CE00A0D" w14:textId="77777777" w:rsidR="00C93629" w:rsidRPr="00B476EC" w:rsidRDefault="00C93629" w:rsidP="00DE4BAF">
            <w:pPr>
              <w:pStyle w:val="TableHeader"/>
              <w:spacing w:line="276" w:lineRule="auto"/>
              <w:rPr>
                <w:lang w:val="en-GB"/>
              </w:rPr>
            </w:pPr>
            <w:r w:rsidRPr="00B476EC">
              <w:rPr>
                <w:lang w:val="en-GB"/>
              </w:rPr>
              <w:t>Title</w:t>
            </w:r>
          </w:p>
        </w:tc>
        <w:tc>
          <w:tcPr>
            <w:tcW w:w="732" w:type="pct"/>
            <w:tcBorders>
              <w:top w:val="single" w:sz="2" w:space="0" w:color="000000"/>
              <w:bottom w:val="single" w:sz="2" w:space="0" w:color="000000"/>
            </w:tcBorders>
          </w:tcPr>
          <w:p w14:paraId="59EE4832" w14:textId="77777777" w:rsidR="00C93629" w:rsidRPr="00B476EC" w:rsidRDefault="00C93629" w:rsidP="00DE4BAF">
            <w:pPr>
              <w:pStyle w:val="TableHeader"/>
              <w:spacing w:line="276" w:lineRule="auto"/>
              <w:rPr>
                <w:lang w:val="en-GB"/>
              </w:rPr>
            </w:pPr>
            <w:r w:rsidRPr="00B476EC">
              <w:rPr>
                <w:lang w:val="en-GB"/>
              </w:rPr>
              <w:t xml:space="preserve">Date </w:t>
            </w:r>
          </w:p>
        </w:tc>
        <w:tc>
          <w:tcPr>
            <w:tcW w:w="585" w:type="pct"/>
            <w:tcBorders>
              <w:top w:val="single" w:sz="2" w:space="0" w:color="000000"/>
              <w:bottom w:val="single" w:sz="2" w:space="0" w:color="000000"/>
            </w:tcBorders>
          </w:tcPr>
          <w:p w14:paraId="25549E33" w14:textId="77777777" w:rsidR="00C93629" w:rsidRPr="00B476EC" w:rsidRDefault="00C93629" w:rsidP="00DE4BAF">
            <w:pPr>
              <w:pStyle w:val="TableHeader"/>
              <w:spacing w:line="276" w:lineRule="auto"/>
              <w:rPr>
                <w:lang w:val="en-GB"/>
              </w:rPr>
            </w:pPr>
            <w:r w:rsidRPr="00B476EC">
              <w:rPr>
                <w:lang w:val="en-GB"/>
              </w:rPr>
              <w:t>Version</w:t>
            </w:r>
          </w:p>
        </w:tc>
      </w:tr>
      <w:tr w:rsidR="00C93629" w:rsidRPr="00B748E3" w14:paraId="508C347F" w14:textId="77777777" w:rsidTr="00192A85">
        <w:trPr>
          <w:trHeight w:val="290"/>
        </w:trPr>
        <w:tc>
          <w:tcPr>
            <w:tcW w:w="1356" w:type="pct"/>
            <w:tcBorders>
              <w:top w:val="single" w:sz="2" w:space="0" w:color="000000"/>
              <w:right w:val="single" w:sz="2" w:space="0" w:color="B9B9B9"/>
            </w:tcBorders>
            <w:vAlign w:val="center"/>
          </w:tcPr>
          <w:p w14:paraId="26457C99" w14:textId="77777777" w:rsidR="00C93629" w:rsidRPr="00B748E3" w:rsidRDefault="00C93629" w:rsidP="00DE4BAF">
            <w:pPr>
              <w:pStyle w:val="TableText"/>
              <w:spacing w:line="276" w:lineRule="auto"/>
              <w:rPr>
                <w:sz w:val="24"/>
              </w:rPr>
            </w:pPr>
            <w:r w:rsidRPr="00B748E3">
              <w:rPr>
                <w:sz w:val="24"/>
              </w:rPr>
              <w:t>Project Board</w:t>
            </w:r>
          </w:p>
        </w:tc>
        <w:tc>
          <w:tcPr>
            <w:tcW w:w="1133" w:type="pct"/>
            <w:tcBorders>
              <w:top w:val="single" w:sz="2" w:space="0" w:color="000000"/>
              <w:left w:val="single" w:sz="2" w:space="0" w:color="B9B9B9"/>
              <w:right w:val="single" w:sz="2" w:space="0" w:color="B9B9B9"/>
            </w:tcBorders>
            <w:vAlign w:val="center"/>
          </w:tcPr>
          <w:p w14:paraId="52C9C555" w14:textId="77777777" w:rsidR="00C93629" w:rsidRPr="00B748E3" w:rsidRDefault="00C93629" w:rsidP="00DE4BAF">
            <w:pPr>
              <w:pStyle w:val="TableText"/>
              <w:spacing w:line="276" w:lineRule="auto"/>
              <w:rPr>
                <w:sz w:val="24"/>
              </w:rPr>
            </w:pPr>
          </w:p>
        </w:tc>
        <w:tc>
          <w:tcPr>
            <w:tcW w:w="1194" w:type="pct"/>
            <w:tcBorders>
              <w:top w:val="single" w:sz="2" w:space="0" w:color="000000"/>
              <w:left w:val="single" w:sz="2" w:space="0" w:color="B9B9B9"/>
              <w:right w:val="single" w:sz="2" w:space="0" w:color="B9B9B9"/>
            </w:tcBorders>
            <w:vAlign w:val="center"/>
          </w:tcPr>
          <w:p w14:paraId="21A44039" w14:textId="77777777" w:rsidR="00C93629" w:rsidRPr="00B748E3" w:rsidRDefault="00C93629" w:rsidP="00DE4BAF">
            <w:pPr>
              <w:pStyle w:val="TableText"/>
              <w:spacing w:line="276" w:lineRule="auto"/>
              <w:rPr>
                <w:sz w:val="24"/>
              </w:rPr>
            </w:pPr>
            <w:r w:rsidRPr="00B748E3">
              <w:rPr>
                <w:sz w:val="24"/>
              </w:rPr>
              <w:t>Project Board</w:t>
            </w:r>
          </w:p>
        </w:tc>
        <w:tc>
          <w:tcPr>
            <w:tcW w:w="732" w:type="pct"/>
            <w:tcBorders>
              <w:top w:val="single" w:sz="2" w:space="0" w:color="000000"/>
              <w:left w:val="single" w:sz="2" w:space="0" w:color="B9B9B9"/>
              <w:right w:val="single" w:sz="2" w:space="0" w:color="B9B9B9"/>
            </w:tcBorders>
            <w:vAlign w:val="center"/>
          </w:tcPr>
          <w:p w14:paraId="3540853A" w14:textId="77777777" w:rsidR="00C93629" w:rsidRPr="00B748E3" w:rsidRDefault="00C93629" w:rsidP="00DE4BAF">
            <w:pPr>
              <w:pStyle w:val="TableText"/>
              <w:spacing w:line="276" w:lineRule="auto"/>
              <w:rPr>
                <w:sz w:val="24"/>
              </w:rPr>
            </w:pPr>
          </w:p>
        </w:tc>
        <w:tc>
          <w:tcPr>
            <w:tcW w:w="585" w:type="pct"/>
            <w:tcBorders>
              <w:top w:val="single" w:sz="2" w:space="0" w:color="000000"/>
              <w:left w:val="single" w:sz="2" w:space="0" w:color="B9B9B9"/>
            </w:tcBorders>
            <w:vAlign w:val="center"/>
          </w:tcPr>
          <w:p w14:paraId="0743D698" w14:textId="77777777" w:rsidR="00C93629" w:rsidRPr="00B748E3" w:rsidRDefault="00C93629" w:rsidP="00DE4BAF">
            <w:pPr>
              <w:pStyle w:val="TableText"/>
              <w:spacing w:line="276" w:lineRule="auto"/>
              <w:rPr>
                <w:sz w:val="24"/>
              </w:rPr>
            </w:pPr>
          </w:p>
        </w:tc>
      </w:tr>
      <w:tr w:rsidR="00C93629" w:rsidRPr="00B748E3" w14:paraId="57852921" w14:textId="77777777" w:rsidTr="00192A85">
        <w:trPr>
          <w:trHeight w:val="290"/>
        </w:trPr>
        <w:tc>
          <w:tcPr>
            <w:tcW w:w="1356" w:type="pct"/>
            <w:tcBorders>
              <w:right w:val="single" w:sz="2" w:space="0" w:color="B9B9B9"/>
            </w:tcBorders>
            <w:vAlign w:val="center"/>
          </w:tcPr>
          <w:p w14:paraId="2DC6DD94" w14:textId="77777777" w:rsidR="00C93629" w:rsidRPr="00B748E3" w:rsidRDefault="00C93629" w:rsidP="00DE4BAF">
            <w:pPr>
              <w:pStyle w:val="TableText"/>
              <w:spacing w:line="276" w:lineRule="auto"/>
              <w:rPr>
                <w:sz w:val="24"/>
              </w:rPr>
            </w:pPr>
            <w:r w:rsidRPr="00B748E3">
              <w:rPr>
                <w:sz w:val="24"/>
              </w:rPr>
              <w:t>Assurance Committee</w:t>
            </w:r>
          </w:p>
        </w:tc>
        <w:tc>
          <w:tcPr>
            <w:tcW w:w="1133" w:type="pct"/>
            <w:tcBorders>
              <w:left w:val="single" w:sz="2" w:space="0" w:color="B9B9B9"/>
              <w:right w:val="single" w:sz="2" w:space="0" w:color="B9B9B9"/>
            </w:tcBorders>
            <w:vAlign w:val="center"/>
          </w:tcPr>
          <w:p w14:paraId="412F50C1" w14:textId="77777777" w:rsidR="00C93629" w:rsidRPr="00B748E3" w:rsidRDefault="00C93629" w:rsidP="00DE4BAF">
            <w:pPr>
              <w:pStyle w:val="TableText"/>
              <w:spacing w:line="276" w:lineRule="auto"/>
              <w:rPr>
                <w:sz w:val="24"/>
              </w:rPr>
            </w:pPr>
          </w:p>
        </w:tc>
        <w:tc>
          <w:tcPr>
            <w:tcW w:w="1194" w:type="pct"/>
            <w:tcBorders>
              <w:left w:val="single" w:sz="2" w:space="0" w:color="B9B9B9"/>
              <w:right w:val="single" w:sz="2" w:space="0" w:color="B9B9B9"/>
            </w:tcBorders>
            <w:vAlign w:val="center"/>
          </w:tcPr>
          <w:p w14:paraId="4F39DBB9" w14:textId="77777777" w:rsidR="00C93629" w:rsidRPr="00B748E3" w:rsidRDefault="00C93629" w:rsidP="00DE4BAF">
            <w:pPr>
              <w:pStyle w:val="TableText"/>
              <w:spacing w:line="276" w:lineRule="auto"/>
              <w:rPr>
                <w:sz w:val="24"/>
              </w:rPr>
            </w:pPr>
            <w:r w:rsidRPr="00B748E3">
              <w:rPr>
                <w:sz w:val="24"/>
              </w:rPr>
              <w:t>Assurance Committee</w:t>
            </w:r>
          </w:p>
        </w:tc>
        <w:tc>
          <w:tcPr>
            <w:tcW w:w="732" w:type="pct"/>
            <w:tcBorders>
              <w:left w:val="single" w:sz="2" w:space="0" w:color="B9B9B9"/>
              <w:right w:val="single" w:sz="2" w:space="0" w:color="B9B9B9"/>
            </w:tcBorders>
            <w:vAlign w:val="center"/>
          </w:tcPr>
          <w:p w14:paraId="79AF195A" w14:textId="77777777" w:rsidR="00C93629" w:rsidRPr="00B748E3" w:rsidRDefault="00C93629" w:rsidP="00DE4BAF">
            <w:pPr>
              <w:pStyle w:val="TableText"/>
              <w:spacing w:line="276" w:lineRule="auto"/>
              <w:rPr>
                <w:sz w:val="24"/>
              </w:rPr>
            </w:pPr>
          </w:p>
        </w:tc>
        <w:tc>
          <w:tcPr>
            <w:tcW w:w="585" w:type="pct"/>
            <w:tcBorders>
              <w:left w:val="single" w:sz="2" w:space="0" w:color="B9B9B9"/>
            </w:tcBorders>
            <w:vAlign w:val="center"/>
          </w:tcPr>
          <w:p w14:paraId="4D6C8708" w14:textId="77777777" w:rsidR="00C93629" w:rsidRPr="00B748E3" w:rsidRDefault="00C93629" w:rsidP="00DE4BAF">
            <w:pPr>
              <w:pStyle w:val="TableText"/>
              <w:spacing w:line="276" w:lineRule="auto"/>
              <w:rPr>
                <w:sz w:val="24"/>
              </w:rPr>
            </w:pPr>
          </w:p>
        </w:tc>
      </w:tr>
    </w:tbl>
    <w:p w14:paraId="2A87AE0E" w14:textId="77777777" w:rsidR="00C93629" w:rsidRPr="00664481" w:rsidRDefault="00C93629" w:rsidP="00DE4BAF">
      <w:pPr>
        <w:pStyle w:val="DocMgmtSubhead"/>
        <w:spacing w:line="276" w:lineRule="auto"/>
        <w:rPr>
          <w:color w:val="0070C0"/>
          <w:szCs w:val="35"/>
        </w:rPr>
      </w:pPr>
    </w:p>
    <w:p w14:paraId="322D2B79" w14:textId="77777777" w:rsidR="00C93629" w:rsidRPr="00664481" w:rsidRDefault="00C93629" w:rsidP="00DE4BAF">
      <w:pPr>
        <w:pStyle w:val="DocMgmtSubhead"/>
        <w:spacing w:line="276" w:lineRule="auto"/>
        <w:rPr>
          <w:color w:val="0070C0"/>
          <w:szCs w:val="35"/>
        </w:rPr>
      </w:pPr>
      <w:r w:rsidRPr="00664481">
        <w:rPr>
          <w:color w:val="0070C0"/>
          <w:szCs w:val="35"/>
        </w:rPr>
        <w:t>Planned Review Date and Route for User Feedback</w:t>
      </w:r>
    </w:p>
    <w:p w14:paraId="09E99960" w14:textId="77777777" w:rsidR="00C93629" w:rsidRPr="00B748E3" w:rsidRDefault="00C93629" w:rsidP="00DE4BAF">
      <w:pPr>
        <w:spacing w:line="276" w:lineRule="auto"/>
        <w:rPr>
          <w:rFonts w:ascii="Arial" w:hAnsi="Arial" w:cs="Arial"/>
          <w:color w:val="000000" w:themeColor="text1"/>
        </w:rPr>
      </w:pPr>
      <w:r w:rsidRPr="00B748E3">
        <w:rPr>
          <w:rFonts w:ascii="Arial" w:hAnsi="Arial" w:cs="Arial"/>
        </w:rPr>
        <w:t xml:space="preserve">The next maintenance of this guidance is planned for </w:t>
      </w:r>
      <w:r w:rsidRPr="00B748E3">
        <w:rPr>
          <w:rFonts w:ascii="Arial" w:hAnsi="Arial" w:cs="Arial"/>
          <w:color w:val="92D050"/>
        </w:rPr>
        <w:t xml:space="preserve">[UNKNOWN DATE], </w:t>
      </w:r>
      <w:r w:rsidRPr="00B748E3">
        <w:rPr>
          <w:rFonts w:ascii="Arial" w:hAnsi="Arial" w:cs="Arial"/>
          <w:color w:val="000000" w:themeColor="text1"/>
        </w:rPr>
        <w:t>subject to agreement with NHS England as the commissioning body.</w:t>
      </w:r>
    </w:p>
    <w:p w14:paraId="61ADB83D" w14:textId="77777777" w:rsidR="00C93629" w:rsidRPr="00B748E3" w:rsidRDefault="00C93629" w:rsidP="00DE4BAF">
      <w:pPr>
        <w:spacing w:line="276" w:lineRule="auto"/>
        <w:rPr>
          <w:rFonts w:ascii="Arial" w:hAnsi="Arial" w:cs="Arial"/>
          <w:color w:val="000000" w:themeColor="text1"/>
        </w:rPr>
      </w:pPr>
    </w:p>
    <w:p w14:paraId="6081D71F" w14:textId="77777777" w:rsidR="00C93629" w:rsidRPr="00B748E3" w:rsidRDefault="00C93629" w:rsidP="00DE4BAF">
      <w:pPr>
        <w:spacing w:line="276" w:lineRule="auto"/>
        <w:rPr>
          <w:rFonts w:ascii="Arial" w:hAnsi="Arial" w:cs="Arial"/>
          <w:b/>
          <w:bCs/>
          <w:color w:val="000000" w:themeColor="text1"/>
        </w:rPr>
      </w:pPr>
      <w:r w:rsidRPr="00B748E3">
        <w:rPr>
          <w:rFonts w:ascii="Arial" w:hAnsi="Arial" w:cs="Arial"/>
          <w:color w:val="000000" w:themeColor="text1"/>
        </w:rPr>
        <w:t xml:space="preserve">Please direct any comments or enquiries related to the project report and implementation of the guidance to </w:t>
      </w:r>
      <w:r w:rsidRPr="00B748E3">
        <w:rPr>
          <w:rFonts w:ascii="Arial" w:hAnsi="Arial" w:cs="Arial"/>
          <w:b/>
          <w:bCs/>
          <w:color w:val="000000" w:themeColor="text1"/>
        </w:rPr>
        <w:t>support@theprsb.org.</w:t>
      </w:r>
    </w:p>
    <w:p w14:paraId="7026ADBB" w14:textId="37CC96D5" w:rsidR="00C93629" w:rsidRPr="00B748E3" w:rsidRDefault="00C93629" w:rsidP="00DE4BAF">
      <w:pPr>
        <w:spacing w:line="276" w:lineRule="auto"/>
      </w:pPr>
    </w:p>
    <w:p w14:paraId="72004466" w14:textId="77777777" w:rsidR="00053FB5" w:rsidRPr="006B0C42" w:rsidRDefault="00053FB5" w:rsidP="00DE4BAF">
      <w:pPr>
        <w:spacing w:line="276" w:lineRule="auto"/>
        <w:rPr>
          <w:rFonts w:ascii="Arial" w:hAnsi="Arial" w:cs="Arial"/>
          <w:color w:val="1078B9"/>
          <w:sz w:val="28"/>
          <w:szCs w:val="28"/>
        </w:rPr>
      </w:pPr>
      <w:r w:rsidRPr="006B0C42">
        <w:rPr>
          <w:rFonts w:ascii="Arial" w:hAnsi="Arial" w:cs="Arial"/>
          <w:color w:val="1078B9"/>
          <w:sz w:val="28"/>
          <w:szCs w:val="28"/>
        </w:rPr>
        <w:t>Glossary of Terms</w:t>
      </w:r>
    </w:p>
    <w:p w14:paraId="0F4D02A8" w14:textId="77777777" w:rsidR="00053FB5" w:rsidRDefault="00053FB5" w:rsidP="00DE4BAF">
      <w:pPr>
        <w:spacing w:line="276" w:lineRule="auto"/>
        <w:rPr>
          <w:rFonts w:ascii="Arial" w:hAnsi="Arial" w:cs="Arial"/>
          <w:color w:val="1078B9"/>
          <w:sz w:val="22"/>
          <w:szCs w:val="22"/>
        </w:rPr>
      </w:pPr>
    </w:p>
    <w:tbl>
      <w:tblPr>
        <w:tblW w:w="5054"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2655"/>
        <w:gridCol w:w="6681"/>
      </w:tblGrid>
      <w:tr w:rsidR="00053FB5" w:rsidRPr="00B476EC" w14:paraId="79ACB660" w14:textId="77777777" w:rsidTr="00EA3BAC">
        <w:tc>
          <w:tcPr>
            <w:tcW w:w="1422" w:type="pct"/>
            <w:tcBorders>
              <w:top w:val="single" w:sz="2" w:space="0" w:color="000000"/>
              <w:bottom w:val="single" w:sz="2" w:space="0" w:color="000000"/>
            </w:tcBorders>
          </w:tcPr>
          <w:p w14:paraId="186B956A" w14:textId="77777777" w:rsidR="00053FB5" w:rsidRPr="00B748E3" w:rsidRDefault="00053FB5" w:rsidP="00DE4BAF">
            <w:pPr>
              <w:pStyle w:val="TableHeader"/>
              <w:spacing w:line="276" w:lineRule="auto"/>
              <w:rPr>
                <w:sz w:val="24"/>
                <w:lang w:val="en-GB"/>
              </w:rPr>
            </w:pPr>
            <w:r w:rsidRPr="00B748E3">
              <w:rPr>
                <w:sz w:val="24"/>
                <w:lang w:val="en-GB"/>
              </w:rPr>
              <w:t>Term / Abbreviation</w:t>
            </w:r>
          </w:p>
        </w:tc>
        <w:tc>
          <w:tcPr>
            <w:tcW w:w="3578" w:type="pct"/>
            <w:tcBorders>
              <w:top w:val="single" w:sz="2" w:space="0" w:color="000000"/>
              <w:bottom w:val="single" w:sz="2" w:space="0" w:color="000000"/>
            </w:tcBorders>
          </w:tcPr>
          <w:p w14:paraId="724FC7B1" w14:textId="77777777" w:rsidR="00053FB5" w:rsidRPr="00B748E3" w:rsidRDefault="00053FB5" w:rsidP="00DE4BAF">
            <w:pPr>
              <w:pStyle w:val="TableHeader"/>
              <w:spacing w:line="276" w:lineRule="auto"/>
              <w:rPr>
                <w:sz w:val="24"/>
                <w:lang w:val="en-GB"/>
              </w:rPr>
            </w:pPr>
            <w:r w:rsidRPr="00B748E3">
              <w:rPr>
                <w:sz w:val="24"/>
                <w:lang w:val="en-GB"/>
              </w:rPr>
              <w:t>What it stands for</w:t>
            </w:r>
          </w:p>
        </w:tc>
      </w:tr>
      <w:tr w:rsidR="00053FB5" w:rsidRPr="00B476EC" w14:paraId="37ECFB8E" w14:textId="77777777" w:rsidTr="00EA3BAC">
        <w:tc>
          <w:tcPr>
            <w:tcW w:w="1422" w:type="pct"/>
            <w:tcBorders>
              <w:top w:val="single" w:sz="2" w:space="0" w:color="000000"/>
              <w:bottom w:val="single" w:sz="2" w:space="0" w:color="000000"/>
            </w:tcBorders>
            <w:vAlign w:val="center"/>
          </w:tcPr>
          <w:p w14:paraId="71DD826C" w14:textId="77777777" w:rsidR="00053FB5" w:rsidRPr="00B748E3" w:rsidRDefault="00053FB5" w:rsidP="00DE4BAF">
            <w:pPr>
              <w:pStyle w:val="TableText"/>
              <w:spacing w:line="276" w:lineRule="auto"/>
              <w:rPr>
                <w:sz w:val="24"/>
              </w:rPr>
            </w:pPr>
            <w:r w:rsidRPr="00B748E3">
              <w:rPr>
                <w:sz w:val="24"/>
              </w:rPr>
              <w:t>ABD</w:t>
            </w:r>
          </w:p>
        </w:tc>
        <w:tc>
          <w:tcPr>
            <w:tcW w:w="3578" w:type="pct"/>
            <w:tcBorders>
              <w:top w:val="single" w:sz="2" w:space="0" w:color="000000"/>
              <w:bottom w:val="single" w:sz="2" w:space="0" w:color="000000"/>
            </w:tcBorders>
            <w:vAlign w:val="center"/>
          </w:tcPr>
          <w:p w14:paraId="59E16BAF" w14:textId="77777777" w:rsidR="00053FB5" w:rsidRPr="00B748E3" w:rsidRDefault="00053FB5" w:rsidP="00DE4BAF">
            <w:pPr>
              <w:pStyle w:val="TableText"/>
              <w:spacing w:line="276" w:lineRule="auto"/>
              <w:rPr>
                <w:rFonts w:cs="Arial"/>
                <w:sz w:val="24"/>
              </w:rPr>
            </w:pPr>
            <w:r w:rsidRPr="00B748E3">
              <w:rPr>
                <w:rFonts w:cs="Arial"/>
                <w:sz w:val="24"/>
              </w:rPr>
              <w:t>Advisory Board Discussion</w:t>
            </w:r>
          </w:p>
        </w:tc>
      </w:tr>
      <w:tr w:rsidR="00053FB5" w:rsidRPr="00B476EC" w14:paraId="62ED0068" w14:textId="77777777" w:rsidTr="00EA3BAC">
        <w:tc>
          <w:tcPr>
            <w:tcW w:w="1422" w:type="pct"/>
            <w:tcBorders>
              <w:top w:val="single" w:sz="2" w:space="0" w:color="000000"/>
              <w:bottom w:val="single" w:sz="2" w:space="0" w:color="000000"/>
            </w:tcBorders>
            <w:vAlign w:val="center"/>
          </w:tcPr>
          <w:p w14:paraId="197B4E68" w14:textId="77777777" w:rsidR="00053FB5" w:rsidRPr="00B748E3" w:rsidRDefault="00053FB5" w:rsidP="00DE4BAF">
            <w:pPr>
              <w:pStyle w:val="TableText"/>
              <w:spacing w:line="276" w:lineRule="auto"/>
              <w:rPr>
                <w:sz w:val="24"/>
              </w:rPr>
            </w:pPr>
            <w:r w:rsidRPr="00B748E3">
              <w:rPr>
                <w:sz w:val="24"/>
              </w:rPr>
              <w:t>ACMG</w:t>
            </w:r>
          </w:p>
        </w:tc>
        <w:tc>
          <w:tcPr>
            <w:tcW w:w="3578" w:type="pct"/>
            <w:tcBorders>
              <w:top w:val="single" w:sz="2" w:space="0" w:color="000000"/>
              <w:bottom w:val="single" w:sz="2" w:space="0" w:color="000000"/>
            </w:tcBorders>
            <w:vAlign w:val="center"/>
          </w:tcPr>
          <w:p w14:paraId="2A7B9AC3" w14:textId="77777777" w:rsidR="00053FB5" w:rsidRPr="00B748E3" w:rsidRDefault="00053FB5" w:rsidP="00DE4BAF">
            <w:pPr>
              <w:pStyle w:val="TableText"/>
              <w:spacing w:line="276" w:lineRule="auto"/>
              <w:rPr>
                <w:rFonts w:cs="Arial"/>
                <w:sz w:val="24"/>
              </w:rPr>
            </w:pPr>
            <w:r w:rsidRPr="00B748E3">
              <w:rPr>
                <w:rFonts w:cs="Arial"/>
                <w:sz w:val="24"/>
              </w:rPr>
              <w:t>American College of Medical Genetics</w:t>
            </w:r>
          </w:p>
        </w:tc>
      </w:tr>
      <w:tr w:rsidR="00053FB5" w:rsidRPr="00B476EC" w14:paraId="37E26771" w14:textId="77777777" w:rsidTr="00EA3BAC">
        <w:tc>
          <w:tcPr>
            <w:tcW w:w="1422" w:type="pct"/>
            <w:tcBorders>
              <w:top w:val="single" w:sz="2" w:space="0" w:color="000000"/>
              <w:bottom w:val="single" w:sz="2" w:space="0" w:color="000000"/>
            </w:tcBorders>
            <w:vAlign w:val="center"/>
          </w:tcPr>
          <w:p w14:paraId="39358041" w14:textId="77777777" w:rsidR="00053FB5" w:rsidRPr="00B748E3" w:rsidRDefault="00053FB5" w:rsidP="00DE4BAF">
            <w:pPr>
              <w:pStyle w:val="TableText"/>
              <w:spacing w:line="276" w:lineRule="auto"/>
              <w:rPr>
                <w:sz w:val="24"/>
              </w:rPr>
            </w:pPr>
            <w:r w:rsidRPr="00B748E3">
              <w:rPr>
                <w:sz w:val="24"/>
              </w:rPr>
              <w:t>ADASS</w:t>
            </w:r>
          </w:p>
        </w:tc>
        <w:tc>
          <w:tcPr>
            <w:tcW w:w="3578" w:type="pct"/>
            <w:tcBorders>
              <w:top w:val="single" w:sz="2" w:space="0" w:color="000000"/>
              <w:bottom w:val="single" w:sz="2" w:space="0" w:color="000000"/>
            </w:tcBorders>
            <w:vAlign w:val="center"/>
          </w:tcPr>
          <w:p w14:paraId="54861BB9" w14:textId="77777777" w:rsidR="00053FB5" w:rsidRPr="00B748E3" w:rsidRDefault="00053FB5" w:rsidP="00DE4BAF">
            <w:pPr>
              <w:pStyle w:val="TableText"/>
              <w:spacing w:line="276" w:lineRule="auto"/>
              <w:rPr>
                <w:rFonts w:cs="Arial"/>
                <w:color w:val="000000" w:themeColor="text1"/>
                <w:sz w:val="24"/>
              </w:rPr>
            </w:pPr>
            <w:r w:rsidRPr="00B748E3">
              <w:rPr>
                <w:rFonts w:cs="Arial"/>
                <w:sz w:val="24"/>
              </w:rPr>
              <w:t>National Association of Directors of Adult Services Standards</w:t>
            </w:r>
          </w:p>
        </w:tc>
      </w:tr>
      <w:tr w:rsidR="00053FB5" w:rsidRPr="00B476EC" w14:paraId="178D1470" w14:textId="77777777" w:rsidTr="00EA3BAC">
        <w:tc>
          <w:tcPr>
            <w:tcW w:w="1422" w:type="pct"/>
            <w:tcBorders>
              <w:top w:val="single" w:sz="2" w:space="0" w:color="000000"/>
              <w:bottom w:val="single" w:sz="2" w:space="0" w:color="000000"/>
            </w:tcBorders>
            <w:vAlign w:val="center"/>
          </w:tcPr>
          <w:p w14:paraId="03A72EB9" w14:textId="77777777" w:rsidR="00053FB5" w:rsidRPr="00B748E3" w:rsidRDefault="00053FB5" w:rsidP="00DE4BAF">
            <w:pPr>
              <w:pStyle w:val="TableText"/>
              <w:spacing w:line="276" w:lineRule="auto"/>
              <w:rPr>
                <w:sz w:val="24"/>
              </w:rPr>
            </w:pPr>
            <w:r w:rsidRPr="00B748E3">
              <w:rPr>
                <w:sz w:val="24"/>
              </w:rPr>
              <w:t xml:space="preserve">Adverse Drug Reaction </w:t>
            </w:r>
          </w:p>
        </w:tc>
        <w:tc>
          <w:tcPr>
            <w:tcW w:w="3578" w:type="pct"/>
            <w:tcBorders>
              <w:top w:val="single" w:sz="2" w:space="0" w:color="000000"/>
              <w:bottom w:val="single" w:sz="2" w:space="0" w:color="000000"/>
            </w:tcBorders>
            <w:vAlign w:val="center"/>
          </w:tcPr>
          <w:p w14:paraId="3FB82C6C" w14:textId="77777777" w:rsidR="00053FB5" w:rsidRPr="00B748E3" w:rsidRDefault="00053FB5" w:rsidP="00DE4BAF">
            <w:pPr>
              <w:pStyle w:val="TableText"/>
              <w:spacing w:line="276" w:lineRule="auto"/>
              <w:rPr>
                <w:sz w:val="24"/>
              </w:rPr>
            </w:pPr>
            <w:r w:rsidRPr="00B748E3">
              <w:rPr>
                <w:rFonts w:cs="Arial"/>
                <w:color w:val="000000" w:themeColor="text1"/>
                <w:sz w:val="24"/>
              </w:rPr>
              <w:t>An unintended, unwanted or harmful reaction (physiological or otherwise) to a drug or combination of drugs (known or suspected); that has occurred following situations including (but not limited to) routine clinical administration, use off-label, poisoning and medication errors.</w:t>
            </w:r>
          </w:p>
        </w:tc>
      </w:tr>
      <w:tr w:rsidR="00053FB5" w:rsidRPr="00B476EC" w14:paraId="2EAA668A" w14:textId="77777777" w:rsidTr="00EA3BAC">
        <w:tc>
          <w:tcPr>
            <w:tcW w:w="1422" w:type="pct"/>
            <w:tcBorders>
              <w:top w:val="single" w:sz="2" w:space="0" w:color="000000"/>
              <w:bottom w:val="single" w:sz="2" w:space="0" w:color="000000"/>
            </w:tcBorders>
            <w:vAlign w:val="center"/>
          </w:tcPr>
          <w:p w14:paraId="1A55C111" w14:textId="77777777" w:rsidR="00053FB5" w:rsidRPr="00B748E3" w:rsidRDefault="00053FB5" w:rsidP="00DE4BAF">
            <w:pPr>
              <w:pStyle w:val="TableText"/>
              <w:spacing w:line="276" w:lineRule="auto"/>
              <w:rPr>
                <w:sz w:val="24"/>
              </w:rPr>
            </w:pPr>
            <w:r w:rsidRPr="00B748E3">
              <w:rPr>
                <w:sz w:val="24"/>
              </w:rPr>
              <w:t>AHP</w:t>
            </w:r>
          </w:p>
        </w:tc>
        <w:tc>
          <w:tcPr>
            <w:tcW w:w="3578" w:type="pct"/>
            <w:tcBorders>
              <w:top w:val="single" w:sz="2" w:space="0" w:color="000000"/>
              <w:bottom w:val="single" w:sz="2" w:space="0" w:color="000000"/>
            </w:tcBorders>
            <w:vAlign w:val="center"/>
          </w:tcPr>
          <w:p w14:paraId="66DC5B60" w14:textId="77777777" w:rsidR="00053FB5" w:rsidRPr="00B748E3" w:rsidRDefault="00053FB5" w:rsidP="00DE4BAF">
            <w:pPr>
              <w:pStyle w:val="TableText"/>
              <w:spacing w:line="276" w:lineRule="auto"/>
              <w:rPr>
                <w:rFonts w:cs="Arial"/>
                <w:color w:val="000000" w:themeColor="text1"/>
                <w:sz w:val="24"/>
              </w:rPr>
            </w:pPr>
            <w:r w:rsidRPr="00B748E3">
              <w:rPr>
                <w:rFonts w:cs="Arial"/>
                <w:sz w:val="24"/>
              </w:rPr>
              <w:t>Allied Health Professions Scotland</w:t>
            </w:r>
          </w:p>
        </w:tc>
      </w:tr>
      <w:tr w:rsidR="00053FB5" w:rsidRPr="00B476EC" w14:paraId="6334D6C3" w14:textId="77777777" w:rsidTr="00EA3BAC">
        <w:tc>
          <w:tcPr>
            <w:tcW w:w="1422" w:type="pct"/>
            <w:tcBorders>
              <w:top w:val="single" w:sz="2" w:space="0" w:color="000000"/>
              <w:bottom w:val="single" w:sz="2" w:space="0" w:color="000000"/>
            </w:tcBorders>
            <w:vAlign w:val="center"/>
          </w:tcPr>
          <w:p w14:paraId="5A2C8EDA" w14:textId="77777777" w:rsidR="00053FB5" w:rsidRPr="00B748E3" w:rsidRDefault="00053FB5" w:rsidP="00DE4BAF">
            <w:pPr>
              <w:pStyle w:val="TableText"/>
              <w:spacing w:line="276" w:lineRule="auto"/>
              <w:rPr>
                <w:sz w:val="24"/>
              </w:rPr>
            </w:pPr>
            <w:r w:rsidRPr="00B748E3">
              <w:rPr>
                <w:sz w:val="24"/>
              </w:rPr>
              <w:t>AHRQ</w:t>
            </w:r>
          </w:p>
        </w:tc>
        <w:tc>
          <w:tcPr>
            <w:tcW w:w="3578" w:type="pct"/>
            <w:tcBorders>
              <w:top w:val="single" w:sz="2" w:space="0" w:color="000000"/>
              <w:bottom w:val="single" w:sz="2" w:space="0" w:color="000000"/>
            </w:tcBorders>
            <w:vAlign w:val="center"/>
          </w:tcPr>
          <w:p w14:paraId="7A712F69" w14:textId="77777777" w:rsidR="00053FB5" w:rsidRPr="00B748E3" w:rsidRDefault="00053FB5" w:rsidP="00DE4BAF">
            <w:pPr>
              <w:pStyle w:val="TableText"/>
              <w:spacing w:line="276" w:lineRule="auto"/>
              <w:rPr>
                <w:rFonts w:cs="Arial"/>
                <w:sz w:val="24"/>
              </w:rPr>
            </w:pPr>
            <w:r w:rsidRPr="00B748E3">
              <w:rPr>
                <w:rFonts w:cs="Arial"/>
                <w:sz w:val="24"/>
              </w:rPr>
              <w:t>Agency for Healthcare Research and Quality</w:t>
            </w:r>
          </w:p>
        </w:tc>
      </w:tr>
      <w:tr w:rsidR="00053FB5" w:rsidRPr="00B476EC" w14:paraId="3D9DA858" w14:textId="77777777" w:rsidTr="00EA3BAC">
        <w:tc>
          <w:tcPr>
            <w:tcW w:w="1422" w:type="pct"/>
            <w:tcBorders>
              <w:top w:val="single" w:sz="2" w:space="0" w:color="000000"/>
              <w:bottom w:val="single" w:sz="2" w:space="0" w:color="000000"/>
            </w:tcBorders>
            <w:vAlign w:val="center"/>
          </w:tcPr>
          <w:p w14:paraId="7D1FEE59" w14:textId="77777777" w:rsidR="00053FB5" w:rsidRPr="00B748E3" w:rsidRDefault="00053FB5" w:rsidP="00DE4BAF">
            <w:pPr>
              <w:pStyle w:val="TableText"/>
              <w:spacing w:line="276" w:lineRule="auto"/>
              <w:rPr>
                <w:sz w:val="24"/>
              </w:rPr>
            </w:pPr>
            <w:r w:rsidRPr="00B748E3">
              <w:rPr>
                <w:sz w:val="24"/>
              </w:rPr>
              <w:t>Allele</w:t>
            </w:r>
          </w:p>
        </w:tc>
        <w:tc>
          <w:tcPr>
            <w:tcW w:w="3578" w:type="pct"/>
            <w:tcBorders>
              <w:top w:val="single" w:sz="2" w:space="0" w:color="000000"/>
              <w:bottom w:val="single" w:sz="2" w:space="0" w:color="000000"/>
            </w:tcBorders>
            <w:vAlign w:val="center"/>
          </w:tcPr>
          <w:p w14:paraId="4D07C1AB" w14:textId="77777777" w:rsidR="00053FB5" w:rsidRPr="00B748E3" w:rsidRDefault="00053FB5" w:rsidP="00DE4BAF">
            <w:pPr>
              <w:pStyle w:val="TableText"/>
              <w:spacing w:line="276" w:lineRule="auto"/>
              <w:rPr>
                <w:sz w:val="24"/>
              </w:rPr>
            </w:pPr>
            <w:r w:rsidRPr="00B748E3">
              <w:rPr>
                <w:rFonts w:cs="Arial"/>
                <w:color w:val="000000" w:themeColor="text1"/>
                <w:sz w:val="24"/>
              </w:rPr>
              <w:t>A variant of a gene that occurs at the same specific position (locus) on a chromosome but exists in alternative forms due to changes in DNA sequence. An individual most commonly has two alleles at each locus, one inherited from each parent. An individual with two identical alleles is homozygous for that gene (heterozygous if the alleles are different).</w:t>
            </w:r>
          </w:p>
        </w:tc>
      </w:tr>
      <w:tr w:rsidR="00053FB5" w:rsidRPr="00B476EC" w14:paraId="1A1C0D73" w14:textId="77777777" w:rsidTr="00EA3BAC">
        <w:tc>
          <w:tcPr>
            <w:tcW w:w="1422" w:type="pct"/>
            <w:tcBorders>
              <w:top w:val="single" w:sz="2" w:space="0" w:color="000000"/>
              <w:bottom w:val="single" w:sz="2" w:space="0" w:color="000000"/>
            </w:tcBorders>
            <w:vAlign w:val="center"/>
          </w:tcPr>
          <w:p w14:paraId="64500F09" w14:textId="77777777" w:rsidR="00053FB5" w:rsidRPr="00B748E3" w:rsidRDefault="00053FB5" w:rsidP="00DE4BAF">
            <w:pPr>
              <w:pStyle w:val="TableText"/>
              <w:spacing w:line="276" w:lineRule="auto"/>
              <w:rPr>
                <w:sz w:val="24"/>
              </w:rPr>
            </w:pPr>
            <w:r w:rsidRPr="00B748E3">
              <w:rPr>
                <w:sz w:val="24"/>
              </w:rPr>
              <w:t>Alert</w:t>
            </w:r>
          </w:p>
        </w:tc>
        <w:tc>
          <w:tcPr>
            <w:tcW w:w="3578" w:type="pct"/>
            <w:tcBorders>
              <w:top w:val="single" w:sz="2" w:space="0" w:color="000000"/>
              <w:bottom w:val="single" w:sz="2" w:space="0" w:color="000000"/>
            </w:tcBorders>
            <w:vAlign w:val="center"/>
          </w:tcPr>
          <w:p w14:paraId="6E5DA8A7" w14:textId="77777777" w:rsidR="00053FB5" w:rsidRPr="00B748E3" w:rsidRDefault="00053FB5" w:rsidP="00DE4BAF">
            <w:pPr>
              <w:pStyle w:val="NormalWeb"/>
              <w:spacing w:before="120" w:beforeAutospacing="0" w:after="120" w:afterAutospacing="0" w:line="276" w:lineRule="auto"/>
              <w:rPr>
                <w:rFonts w:cs="Arial"/>
                <w:color w:val="000000" w:themeColor="text1"/>
              </w:rPr>
            </w:pPr>
            <w:r w:rsidRPr="00B748E3">
              <w:rPr>
                <w:rFonts w:ascii="Arial" w:hAnsi="Arial" w:cs="Arial"/>
                <w:color w:val="000000" w:themeColor="text1"/>
              </w:rPr>
              <w:t xml:space="preserve">A type of notification that conveys a warning of important, time-sensitive, and/or safety information. </w:t>
            </w:r>
          </w:p>
        </w:tc>
      </w:tr>
      <w:tr w:rsidR="00053FB5" w:rsidRPr="00B476EC" w14:paraId="3B7ACA1B" w14:textId="77777777" w:rsidTr="00EA3BAC">
        <w:tc>
          <w:tcPr>
            <w:tcW w:w="1422" w:type="pct"/>
            <w:tcBorders>
              <w:top w:val="single" w:sz="2" w:space="0" w:color="000000"/>
              <w:bottom w:val="single" w:sz="2" w:space="0" w:color="000000"/>
            </w:tcBorders>
            <w:vAlign w:val="center"/>
          </w:tcPr>
          <w:p w14:paraId="413CB524" w14:textId="77777777" w:rsidR="00053FB5" w:rsidRPr="00B748E3" w:rsidRDefault="00053FB5" w:rsidP="00DE4BAF">
            <w:pPr>
              <w:pStyle w:val="TableText"/>
              <w:spacing w:line="276" w:lineRule="auto"/>
              <w:rPr>
                <w:sz w:val="24"/>
              </w:rPr>
            </w:pPr>
            <w:r w:rsidRPr="00B748E3">
              <w:rPr>
                <w:rFonts w:cs="Arial"/>
                <w:color w:val="000000" w:themeColor="text1"/>
                <w:sz w:val="24"/>
              </w:rPr>
              <w:t>Alert fatigue</w:t>
            </w:r>
          </w:p>
        </w:tc>
        <w:tc>
          <w:tcPr>
            <w:tcW w:w="3578" w:type="pct"/>
            <w:tcBorders>
              <w:top w:val="single" w:sz="2" w:space="0" w:color="000000"/>
              <w:bottom w:val="single" w:sz="2" w:space="0" w:color="000000"/>
            </w:tcBorders>
            <w:vAlign w:val="center"/>
          </w:tcPr>
          <w:p w14:paraId="50FE010A" w14:textId="77777777" w:rsidR="00053FB5" w:rsidRPr="00B748E3" w:rsidRDefault="00053FB5" w:rsidP="00DE4BAF">
            <w:pPr>
              <w:pStyle w:val="NormalWeb"/>
              <w:spacing w:before="120" w:beforeAutospacing="0" w:after="120" w:afterAutospacing="0" w:line="276" w:lineRule="auto"/>
              <w:rPr>
                <w:rFonts w:ascii="Arial" w:hAnsi="Arial" w:cs="Arial"/>
                <w:color w:val="000000" w:themeColor="text1"/>
              </w:rPr>
            </w:pPr>
            <w:r w:rsidRPr="00B748E3">
              <w:rPr>
                <w:rFonts w:ascii="Arial" w:hAnsi="Arial" w:cs="Arial"/>
                <w:color w:val="000000" w:themeColor="text1"/>
              </w:rPr>
              <w:t xml:space="preserve">A desensitisation phenomenon that can emerge when </w:t>
            </w:r>
            <w:r>
              <w:rPr>
                <w:rFonts w:ascii="Arial" w:hAnsi="Arial" w:cs="Arial"/>
                <w:color w:val="000000" w:themeColor="text1"/>
              </w:rPr>
              <w:t xml:space="preserve">electronic </w:t>
            </w:r>
            <w:r w:rsidRPr="00B748E3">
              <w:rPr>
                <w:rFonts w:ascii="Arial" w:hAnsi="Arial" w:cs="Arial"/>
                <w:color w:val="000000" w:themeColor="text1"/>
              </w:rPr>
              <w:t xml:space="preserve">alerts are used in live clinical settings. This is thought to occur due to the sheer volume of daily </w:t>
            </w:r>
            <w:r>
              <w:rPr>
                <w:rFonts w:ascii="Arial" w:hAnsi="Arial" w:cs="Arial"/>
                <w:color w:val="000000" w:themeColor="text1"/>
              </w:rPr>
              <w:t xml:space="preserve">electronic </w:t>
            </w:r>
            <w:r w:rsidRPr="00B748E3">
              <w:rPr>
                <w:rFonts w:ascii="Arial" w:hAnsi="Arial" w:cs="Arial"/>
                <w:color w:val="000000" w:themeColor="text1"/>
              </w:rPr>
              <w:t xml:space="preserve">alerts and notifications seen by prescribers that are of limited clinical utility. An unintended consequence is that the end-user may ignore or override the alerts without consideration of the content, with significant safety implications. </w:t>
            </w:r>
          </w:p>
        </w:tc>
      </w:tr>
      <w:tr w:rsidR="00053FB5" w:rsidRPr="00B476EC" w14:paraId="4FF6692A" w14:textId="77777777" w:rsidTr="00EA3BAC">
        <w:tc>
          <w:tcPr>
            <w:tcW w:w="1422" w:type="pct"/>
            <w:tcBorders>
              <w:top w:val="single" w:sz="2" w:space="0" w:color="000000"/>
              <w:bottom w:val="single" w:sz="2" w:space="0" w:color="000000"/>
            </w:tcBorders>
            <w:vAlign w:val="center"/>
          </w:tcPr>
          <w:p w14:paraId="70A82FBE" w14:textId="77777777" w:rsidR="00053FB5" w:rsidRPr="00B748E3" w:rsidRDefault="00053FB5" w:rsidP="00DE4BAF">
            <w:pPr>
              <w:pStyle w:val="TableText"/>
              <w:spacing w:line="276" w:lineRule="auto"/>
              <w:rPr>
                <w:rFonts w:cs="Arial"/>
                <w:color w:val="000000" w:themeColor="text1"/>
                <w:sz w:val="24"/>
              </w:rPr>
            </w:pPr>
            <w:r w:rsidRPr="00B748E3">
              <w:rPr>
                <w:rFonts w:cs="Arial"/>
                <w:color w:val="000000" w:themeColor="text1"/>
                <w:sz w:val="24"/>
              </w:rPr>
              <w:t>API</w:t>
            </w:r>
          </w:p>
        </w:tc>
        <w:tc>
          <w:tcPr>
            <w:tcW w:w="3578" w:type="pct"/>
            <w:tcBorders>
              <w:top w:val="single" w:sz="2" w:space="0" w:color="000000"/>
              <w:bottom w:val="single" w:sz="2" w:space="0" w:color="000000"/>
            </w:tcBorders>
            <w:vAlign w:val="center"/>
          </w:tcPr>
          <w:p w14:paraId="7F3C863A" w14:textId="77777777" w:rsidR="00053FB5" w:rsidRPr="00B748E3" w:rsidRDefault="00053FB5" w:rsidP="00DE4BAF">
            <w:pPr>
              <w:pStyle w:val="NormalWeb"/>
              <w:spacing w:before="120" w:after="120" w:line="276" w:lineRule="auto"/>
              <w:rPr>
                <w:rFonts w:ascii="Arial" w:hAnsi="Arial" w:cs="Arial"/>
                <w:color w:val="000000" w:themeColor="text1"/>
              </w:rPr>
            </w:pPr>
            <w:r w:rsidRPr="00B748E3">
              <w:rPr>
                <w:rFonts w:ascii="Arial" w:hAnsi="Arial" w:cs="Arial"/>
                <w:color w:val="000000" w:themeColor="text1"/>
              </w:rPr>
              <w:t>Application Programming Interface</w:t>
            </w:r>
          </w:p>
        </w:tc>
      </w:tr>
      <w:tr w:rsidR="00053FB5" w:rsidRPr="00B476EC" w14:paraId="50BD8C9F" w14:textId="77777777" w:rsidTr="00EA3BAC">
        <w:tc>
          <w:tcPr>
            <w:tcW w:w="1422" w:type="pct"/>
            <w:tcBorders>
              <w:top w:val="single" w:sz="2" w:space="0" w:color="000000"/>
              <w:bottom w:val="single" w:sz="2" w:space="0" w:color="000000"/>
            </w:tcBorders>
            <w:vAlign w:val="center"/>
          </w:tcPr>
          <w:p w14:paraId="3B2D411B" w14:textId="77777777" w:rsidR="00053FB5" w:rsidRPr="00B748E3" w:rsidRDefault="00053FB5" w:rsidP="00DE4BAF">
            <w:pPr>
              <w:pStyle w:val="TableText"/>
              <w:spacing w:line="276" w:lineRule="auto"/>
              <w:rPr>
                <w:rFonts w:cs="Arial"/>
                <w:color w:val="000000" w:themeColor="text1"/>
                <w:sz w:val="24"/>
              </w:rPr>
            </w:pPr>
            <w:r w:rsidRPr="00B748E3">
              <w:rPr>
                <w:rFonts w:cs="Arial"/>
                <w:color w:val="000000" w:themeColor="text1"/>
                <w:sz w:val="24"/>
              </w:rPr>
              <w:t>BAM</w:t>
            </w:r>
          </w:p>
        </w:tc>
        <w:tc>
          <w:tcPr>
            <w:tcW w:w="3578" w:type="pct"/>
            <w:tcBorders>
              <w:top w:val="single" w:sz="2" w:space="0" w:color="000000"/>
              <w:bottom w:val="single" w:sz="2" w:space="0" w:color="000000"/>
            </w:tcBorders>
            <w:vAlign w:val="center"/>
          </w:tcPr>
          <w:p w14:paraId="52278246" w14:textId="77777777" w:rsidR="00053FB5" w:rsidRPr="00B748E3" w:rsidRDefault="00053FB5" w:rsidP="00DE4BAF">
            <w:pPr>
              <w:pStyle w:val="NormalWeb"/>
              <w:spacing w:before="120" w:beforeAutospacing="0" w:after="120" w:afterAutospacing="0" w:line="276" w:lineRule="auto"/>
              <w:rPr>
                <w:rFonts w:ascii="Arial" w:hAnsi="Arial" w:cs="Arial"/>
                <w:color w:val="000000" w:themeColor="text1"/>
              </w:rPr>
            </w:pPr>
            <w:r w:rsidRPr="00B748E3">
              <w:rPr>
                <w:rFonts w:ascii="Arial" w:hAnsi="Arial" w:cs="Arial"/>
                <w:color w:val="000000" w:themeColor="text1"/>
              </w:rPr>
              <w:t>A binary format used for storing genomic sequence data and associated meta data</w:t>
            </w:r>
          </w:p>
        </w:tc>
      </w:tr>
      <w:tr w:rsidR="00053FB5" w:rsidRPr="00B476EC" w14:paraId="2EC28D61" w14:textId="77777777" w:rsidTr="00EA3BAC">
        <w:tc>
          <w:tcPr>
            <w:tcW w:w="1422" w:type="pct"/>
            <w:tcBorders>
              <w:top w:val="single" w:sz="2" w:space="0" w:color="000000"/>
              <w:bottom w:val="single" w:sz="2" w:space="0" w:color="000000"/>
            </w:tcBorders>
            <w:vAlign w:val="center"/>
          </w:tcPr>
          <w:p w14:paraId="12C89DC2" w14:textId="77777777" w:rsidR="00053FB5" w:rsidRPr="00B748E3" w:rsidRDefault="00053FB5" w:rsidP="00DE4BAF">
            <w:pPr>
              <w:pStyle w:val="TableText"/>
              <w:spacing w:line="276" w:lineRule="auto"/>
              <w:rPr>
                <w:rFonts w:cs="Arial"/>
                <w:color w:val="000000" w:themeColor="text1"/>
                <w:sz w:val="24"/>
              </w:rPr>
            </w:pPr>
            <w:r w:rsidRPr="00B748E3">
              <w:rPr>
                <w:rFonts w:cs="Arial"/>
                <w:color w:val="000000" w:themeColor="text1"/>
                <w:sz w:val="24"/>
              </w:rPr>
              <w:lastRenderedPageBreak/>
              <w:t>BHF</w:t>
            </w:r>
          </w:p>
        </w:tc>
        <w:tc>
          <w:tcPr>
            <w:tcW w:w="3578" w:type="pct"/>
            <w:tcBorders>
              <w:top w:val="single" w:sz="2" w:space="0" w:color="000000"/>
              <w:bottom w:val="single" w:sz="2" w:space="0" w:color="000000"/>
            </w:tcBorders>
            <w:vAlign w:val="center"/>
          </w:tcPr>
          <w:p w14:paraId="3558E7D4" w14:textId="77777777" w:rsidR="00053FB5" w:rsidRPr="00B748E3" w:rsidRDefault="00053FB5" w:rsidP="00DE4BAF">
            <w:pPr>
              <w:pStyle w:val="NormalWeb"/>
              <w:spacing w:before="120" w:after="120" w:line="276" w:lineRule="auto"/>
              <w:rPr>
                <w:rFonts w:ascii="Arial" w:hAnsi="Arial" w:cs="Arial"/>
                <w:color w:val="000000" w:themeColor="text1"/>
              </w:rPr>
            </w:pPr>
            <w:r w:rsidRPr="00B748E3">
              <w:rPr>
                <w:rFonts w:ascii="Arial" w:hAnsi="Arial" w:cs="Arial"/>
                <w:color w:val="000000" w:themeColor="text1"/>
              </w:rPr>
              <w:t>British Heart Foundation</w:t>
            </w:r>
          </w:p>
        </w:tc>
      </w:tr>
      <w:tr w:rsidR="00053FB5" w:rsidRPr="00B476EC" w14:paraId="3A30BE68" w14:textId="77777777" w:rsidTr="00EA3BAC">
        <w:tc>
          <w:tcPr>
            <w:tcW w:w="1422" w:type="pct"/>
            <w:tcBorders>
              <w:top w:val="single" w:sz="2" w:space="0" w:color="000000"/>
              <w:bottom w:val="single" w:sz="2" w:space="0" w:color="000000"/>
            </w:tcBorders>
            <w:vAlign w:val="center"/>
          </w:tcPr>
          <w:p w14:paraId="78B68226" w14:textId="77777777" w:rsidR="00053FB5" w:rsidRPr="00B748E3" w:rsidRDefault="00053FB5" w:rsidP="00DE4BAF">
            <w:pPr>
              <w:pStyle w:val="TableText"/>
              <w:spacing w:line="276" w:lineRule="auto"/>
              <w:rPr>
                <w:rFonts w:cs="Arial"/>
                <w:color w:val="000000" w:themeColor="text1"/>
                <w:sz w:val="24"/>
              </w:rPr>
            </w:pPr>
            <w:r w:rsidRPr="00B748E3">
              <w:rPr>
                <w:rFonts w:cs="Arial"/>
                <w:color w:val="000000" w:themeColor="text1"/>
                <w:sz w:val="24"/>
              </w:rPr>
              <w:t>BNF</w:t>
            </w:r>
          </w:p>
        </w:tc>
        <w:tc>
          <w:tcPr>
            <w:tcW w:w="3578" w:type="pct"/>
            <w:tcBorders>
              <w:top w:val="single" w:sz="2" w:space="0" w:color="000000"/>
              <w:bottom w:val="single" w:sz="2" w:space="0" w:color="000000"/>
            </w:tcBorders>
            <w:vAlign w:val="center"/>
          </w:tcPr>
          <w:p w14:paraId="0CABE9B0" w14:textId="77777777" w:rsidR="00053FB5" w:rsidRPr="00B748E3" w:rsidRDefault="00053FB5" w:rsidP="00DE4BAF">
            <w:pPr>
              <w:pStyle w:val="NormalWeb"/>
              <w:spacing w:before="120" w:beforeAutospacing="0" w:after="120" w:afterAutospacing="0" w:line="276" w:lineRule="auto"/>
              <w:rPr>
                <w:rFonts w:ascii="Arial" w:hAnsi="Arial" w:cs="Arial"/>
                <w:color w:val="000000" w:themeColor="text1"/>
              </w:rPr>
            </w:pPr>
            <w:r w:rsidRPr="00B748E3">
              <w:rPr>
                <w:rFonts w:ascii="Arial" w:hAnsi="Arial" w:cs="Arial"/>
                <w:color w:val="000000" w:themeColor="text1"/>
              </w:rPr>
              <w:t>British National Formulary</w:t>
            </w:r>
          </w:p>
        </w:tc>
      </w:tr>
      <w:tr w:rsidR="00053FB5" w:rsidRPr="00B476EC" w14:paraId="086AB5F8" w14:textId="77777777" w:rsidTr="00EA3BAC">
        <w:tc>
          <w:tcPr>
            <w:tcW w:w="1422" w:type="pct"/>
            <w:tcBorders>
              <w:top w:val="single" w:sz="2" w:space="0" w:color="000000"/>
              <w:bottom w:val="single" w:sz="2" w:space="0" w:color="000000"/>
            </w:tcBorders>
            <w:vAlign w:val="center"/>
          </w:tcPr>
          <w:p w14:paraId="7B0581D5" w14:textId="77777777" w:rsidR="00053FB5" w:rsidRPr="00B748E3" w:rsidRDefault="00053FB5" w:rsidP="00DE4BAF">
            <w:pPr>
              <w:pStyle w:val="TableText"/>
              <w:spacing w:line="276" w:lineRule="auto"/>
              <w:rPr>
                <w:sz w:val="24"/>
              </w:rPr>
            </w:pPr>
            <w:r w:rsidRPr="00B748E3">
              <w:rPr>
                <w:sz w:val="24"/>
              </w:rPr>
              <w:t>CDS</w:t>
            </w:r>
          </w:p>
        </w:tc>
        <w:tc>
          <w:tcPr>
            <w:tcW w:w="3578" w:type="pct"/>
            <w:tcBorders>
              <w:top w:val="single" w:sz="2" w:space="0" w:color="000000"/>
              <w:bottom w:val="single" w:sz="2" w:space="0" w:color="000000"/>
            </w:tcBorders>
            <w:vAlign w:val="center"/>
          </w:tcPr>
          <w:p w14:paraId="1D52B15B" w14:textId="77777777" w:rsidR="00053FB5" w:rsidRPr="00B748E3" w:rsidRDefault="00053FB5" w:rsidP="00DE4BAF">
            <w:pPr>
              <w:pStyle w:val="TableText"/>
              <w:spacing w:line="276" w:lineRule="auto"/>
              <w:rPr>
                <w:sz w:val="24"/>
              </w:rPr>
            </w:pPr>
            <w:r w:rsidRPr="00B748E3">
              <w:rPr>
                <w:sz w:val="24"/>
              </w:rPr>
              <w:t>Clinical Decision Support</w:t>
            </w:r>
          </w:p>
        </w:tc>
      </w:tr>
      <w:tr w:rsidR="00053FB5" w:rsidRPr="00B476EC" w14:paraId="31458729" w14:textId="77777777" w:rsidTr="00EA3BAC">
        <w:tc>
          <w:tcPr>
            <w:tcW w:w="1422" w:type="pct"/>
            <w:tcBorders>
              <w:top w:val="single" w:sz="2" w:space="0" w:color="000000"/>
              <w:bottom w:val="single" w:sz="2" w:space="0" w:color="000000"/>
            </w:tcBorders>
            <w:vAlign w:val="center"/>
          </w:tcPr>
          <w:p w14:paraId="00D3B0A2" w14:textId="77777777" w:rsidR="00053FB5" w:rsidRPr="00B748E3" w:rsidRDefault="00053FB5" w:rsidP="00DE4BAF">
            <w:pPr>
              <w:pStyle w:val="TableText"/>
              <w:spacing w:line="276" w:lineRule="auto"/>
              <w:rPr>
                <w:sz w:val="24"/>
              </w:rPr>
            </w:pPr>
            <w:r w:rsidRPr="00B748E3">
              <w:rPr>
                <w:rFonts w:cs="Arial"/>
                <w:color w:val="000000" w:themeColor="text1"/>
                <w:sz w:val="24"/>
              </w:rPr>
              <w:t>Clinical decision support systems (CDSS)</w:t>
            </w:r>
          </w:p>
        </w:tc>
        <w:tc>
          <w:tcPr>
            <w:tcW w:w="3578" w:type="pct"/>
            <w:tcBorders>
              <w:top w:val="single" w:sz="2" w:space="0" w:color="000000"/>
              <w:bottom w:val="single" w:sz="2" w:space="0" w:color="000000"/>
            </w:tcBorders>
            <w:vAlign w:val="center"/>
          </w:tcPr>
          <w:p w14:paraId="542BD98B" w14:textId="77777777" w:rsidR="00053FB5" w:rsidRPr="00B748E3" w:rsidRDefault="00053FB5" w:rsidP="00DE4BAF">
            <w:pPr>
              <w:pStyle w:val="NormalWeb"/>
              <w:spacing w:before="120" w:beforeAutospacing="0" w:after="120" w:afterAutospacing="0" w:line="276" w:lineRule="auto"/>
              <w:rPr>
                <w:rFonts w:cs="Arial"/>
                <w:color w:val="000000" w:themeColor="text1"/>
              </w:rPr>
            </w:pPr>
            <w:r w:rsidRPr="00B748E3">
              <w:rPr>
                <w:rFonts w:ascii="Arial" w:hAnsi="Arial" w:cs="Arial"/>
                <w:color w:val="000000" w:themeColor="text1"/>
              </w:rPr>
              <w:t>Computer programs that use rules and guidelines to filter, organise or otherwise process a patient’s raw clinical data into actionable evidence-based information and recommendations; delivered to the end-user at appropriate points in the clinical workflow, in order to aid decision making at the point-of-care.</w:t>
            </w:r>
          </w:p>
        </w:tc>
      </w:tr>
      <w:tr w:rsidR="00053FB5" w:rsidRPr="00B476EC" w14:paraId="734F3FE4" w14:textId="77777777" w:rsidTr="00EA3BAC">
        <w:tc>
          <w:tcPr>
            <w:tcW w:w="1422" w:type="pct"/>
            <w:tcBorders>
              <w:top w:val="single" w:sz="2" w:space="0" w:color="000000"/>
              <w:bottom w:val="single" w:sz="2" w:space="0" w:color="000000"/>
            </w:tcBorders>
            <w:vAlign w:val="center"/>
          </w:tcPr>
          <w:p w14:paraId="535EF0C8" w14:textId="77777777" w:rsidR="00053FB5" w:rsidRPr="00B748E3" w:rsidRDefault="00053FB5" w:rsidP="00DE4BAF">
            <w:pPr>
              <w:pStyle w:val="TableText"/>
              <w:spacing w:line="276" w:lineRule="auto"/>
              <w:rPr>
                <w:rFonts w:cs="Arial"/>
                <w:color w:val="000000" w:themeColor="text1"/>
                <w:sz w:val="24"/>
              </w:rPr>
            </w:pPr>
            <w:r w:rsidRPr="00B748E3">
              <w:rPr>
                <w:rFonts w:cs="Arial"/>
                <w:color w:val="000000" w:themeColor="text1"/>
                <w:sz w:val="24"/>
              </w:rPr>
              <w:t>CMIO</w:t>
            </w:r>
          </w:p>
        </w:tc>
        <w:tc>
          <w:tcPr>
            <w:tcW w:w="3578" w:type="pct"/>
            <w:tcBorders>
              <w:top w:val="single" w:sz="2" w:space="0" w:color="000000"/>
              <w:bottom w:val="single" w:sz="2" w:space="0" w:color="000000"/>
            </w:tcBorders>
            <w:vAlign w:val="center"/>
          </w:tcPr>
          <w:p w14:paraId="7C480E08" w14:textId="77777777" w:rsidR="00053FB5" w:rsidRPr="00B748E3" w:rsidRDefault="00053FB5" w:rsidP="00DE4BAF">
            <w:pPr>
              <w:pStyle w:val="NormalWeb"/>
              <w:spacing w:before="120" w:after="120" w:line="276" w:lineRule="auto"/>
              <w:rPr>
                <w:rFonts w:ascii="Arial" w:hAnsi="Arial" w:cs="Arial"/>
                <w:color w:val="000000" w:themeColor="text1"/>
              </w:rPr>
            </w:pPr>
            <w:r w:rsidRPr="00B748E3">
              <w:rPr>
                <w:rFonts w:ascii="Arial" w:hAnsi="Arial" w:cs="Arial"/>
                <w:color w:val="000000" w:themeColor="text1"/>
              </w:rPr>
              <w:t>Chief Medical Information Officer</w:t>
            </w:r>
          </w:p>
        </w:tc>
      </w:tr>
      <w:tr w:rsidR="00053FB5" w:rsidRPr="00B476EC" w14:paraId="0443E015" w14:textId="77777777" w:rsidTr="00EA3BAC">
        <w:tc>
          <w:tcPr>
            <w:tcW w:w="1422" w:type="pct"/>
            <w:tcBorders>
              <w:top w:val="single" w:sz="2" w:space="0" w:color="000000"/>
              <w:bottom w:val="single" w:sz="2" w:space="0" w:color="000000"/>
            </w:tcBorders>
            <w:vAlign w:val="center"/>
          </w:tcPr>
          <w:p w14:paraId="4252F8C0" w14:textId="77777777" w:rsidR="00053FB5" w:rsidRPr="00B748E3" w:rsidRDefault="00053FB5" w:rsidP="00DE4BAF">
            <w:pPr>
              <w:pStyle w:val="TableText"/>
              <w:spacing w:line="276" w:lineRule="auto"/>
              <w:rPr>
                <w:sz w:val="24"/>
              </w:rPr>
            </w:pPr>
            <w:r w:rsidRPr="00B748E3">
              <w:rPr>
                <w:sz w:val="24"/>
              </w:rPr>
              <w:t>CPIC</w:t>
            </w:r>
          </w:p>
        </w:tc>
        <w:tc>
          <w:tcPr>
            <w:tcW w:w="3578" w:type="pct"/>
            <w:tcBorders>
              <w:top w:val="single" w:sz="2" w:space="0" w:color="000000"/>
              <w:bottom w:val="single" w:sz="2" w:space="0" w:color="000000"/>
            </w:tcBorders>
            <w:vAlign w:val="center"/>
          </w:tcPr>
          <w:p w14:paraId="041DBF63" w14:textId="77777777" w:rsidR="00053FB5" w:rsidRPr="00B748E3" w:rsidRDefault="00053FB5" w:rsidP="00DE4BAF">
            <w:pPr>
              <w:pStyle w:val="TableText"/>
              <w:spacing w:line="276" w:lineRule="auto"/>
              <w:rPr>
                <w:sz w:val="24"/>
              </w:rPr>
            </w:pPr>
            <w:r w:rsidRPr="00B748E3">
              <w:rPr>
                <w:sz w:val="24"/>
              </w:rPr>
              <w:t>Clinical Pharmacogenetics Implementation Consortium</w:t>
            </w:r>
          </w:p>
        </w:tc>
      </w:tr>
      <w:tr w:rsidR="00053FB5" w:rsidRPr="00B476EC" w14:paraId="092C705B" w14:textId="77777777" w:rsidTr="00EA3BAC">
        <w:tc>
          <w:tcPr>
            <w:tcW w:w="1422" w:type="pct"/>
            <w:tcBorders>
              <w:top w:val="single" w:sz="2" w:space="0" w:color="000000"/>
              <w:bottom w:val="single" w:sz="2" w:space="0" w:color="000000"/>
            </w:tcBorders>
            <w:vAlign w:val="center"/>
          </w:tcPr>
          <w:p w14:paraId="3AF83210" w14:textId="77777777" w:rsidR="00053FB5" w:rsidRPr="00B748E3" w:rsidRDefault="00053FB5" w:rsidP="00DE4BAF">
            <w:pPr>
              <w:pStyle w:val="TableText"/>
              <w:spacing w:line="276" w:lineRule="auto"/>
              <w:rPr>
                <w:sz w:val="24"/>
              </w:rPr>
            </w:pPr>
            <w:r w:rsidRPr="00B748E3">
              <w:rPr>
                <w:sz w:val="24"/>
              </w:rPr>
              <w:t>CPRD</w:t>
            </w:r>
          </w:p>
        </w:tc>
        <w:tc>
          <w:tcPr>
            <w:tcW w:w="3578" w:type="pct"/>
            <w:tcBorders>
              <w:top w:val="single" w:sz="2" w:space="0" w:color="000000"/>
              <w:bottom w:val="single" w:sz="2" w:space="0" w:color="000000"/>
            </w:tcBorders>
            <w:vAlign w:val="center"/>
          </w:tcPr>
          <w:p w14:paraId="5EA55EA3" w14:textId="77777777" w:rsidR="00053FB5" w:rsidRPr="00B748E3" w:rsidRDefault="00053FB5" w:rsidP="00DE4BAF">
            <w:pPr>
              <w:pStyle w:val="TableText"/>
              <w:spacing w:line="276" w:lineRule="auto"/>
              <w:rPr>
                <w:sz w:val="24"/>
              </w:rPr>
            </w:pPr>
            <w:r w:rsidRPr="00B748E3">
              <w:rPr>
                <w:sz w:val="24"/>
              </w:rPr>
              <w:t>Clinical Practice Research Datalink</w:t>
            </w:r>
          </w:p>
        </w:tc>
      </w:tr>
      <w:tr w:rsidR="00053FB5" w:rsidRPr="00B476EC" w14:paraId="54E615CB" w14:textId="77777777" w:rsidTr="00EA3BAC">
        <w:tc>
          <w:tcPr>
            <w:tcW w:w="1422" w:type="pct"/>
            <w:tcBorders>
              <w:top w:val="single" w:sz="2" w:space="0" w:color="000000"/>
              <w:bottom w:val="single" w:sz="2" w:space="0" w:color="000000"/>
            </w:tcBorders>
            <w:vAlign w:val="center"/>
          </w:tcPr>
          <w:p w14:paraId="08DEFE12" w14:textId="77777777" w:rsidR="00053FB5" w:rsidRPr="00B748E3" w:rsidRDefault="00053FB5" w:rsidP="00DE4BAF">
            <w:pPr>
              <w:pStyle w:val="TableText"/>
              <w:spacing w:line="276" w:lineRule="auto"/>
              <w:rPr>
                <w:sz w:val="24"/>
              </w:rPr>
            </w:pPr>
            <w:r w:rsidRPr="00B748E3">
              <w:rPr>
                <w:sz w:val="24"/>
              </w:rPr>
              <w:t>DDI</w:t>
            </w:r>
          </w:p>
        </w:tc>
        <w:tc>
          <w:tcPr>
            <w:tcW w:w="3578" w:type="pct"/>
            <w:tcBorders>
              <w:top w:val="single" w:sz="2" w:space="0" w:color="000000"/>
              <w:bottom w:val="single" w:sz="2" w:space="0" w:color="000000"/>
            </w:tcBorders>
            <w:vAlign w:val="center"/>
          </w:tcPr>
          <w:p w14:paraId="6DC5B60D" w14:textId="77777777" w:rsidR="00053FB5" w:rsidRPr="00B748E3" w:rsidRDefault="00053FB5" w:rsidP="00DE4BAF">
            <w:pPr>
              <w:pStyle w:val="TableText"/>
              <w:spacing w:line="276" w:lineRule="auto"/>
              <w:rPr>
                <w:sz w:val="24"/>
              </w:rPr>
            </w:pPr>
            <w:r w:rsidRPr="00B748E3">
              <w:rPr>
                <w:sz w:val="24"/>
              </w:rPr>
              <w:t>Drug-drug interaction</w:t>
            </w:r>
          </w:p>
        </w:tc>
      </w:tr>
      <w:tr w:rsidR="00053FB5" w:rsidRPr="00B476EC" w14:paraId="219C1569" w14:textId="77777777" w:rsidTr="00EA3BAC">
        <w:tc>
          <w:tcPr>
            <w:tcW w:w="1422" w:type="pct"/>
            <w:tcBorders>
              <w:top w:val="single" w:sz="2" w:space="0" w:color="000000"/>
              <w:bottom w:val="single" w:sz="2" w:space="0" w:color="000000"/>
            </w:tcBorders>
            <w:vAlign w:val="center"/>
          </w:tcPr>
          <w:p w14:paraId="19DEFD5E" w14:textId="77777777" w:rsidR="00053FB5" w:rsidRPr="00B748E3" w:rsidRDefault="00053FB5" w:rsidP="00DE4BAF">
            <w:pPr>
              <w:pStyle w:val="TableText"/>
              <w:spacing w:line="276" w:lineRule="auto"/>
              <w:rPr>
                <w:sz w:val="24"/>
              </w:rPr>
            </w:pPr>
            <w:r w:rsidRPr="00B748E3">
              <w:rPr>
                <w:rFonts w:cs="Arial"/>
                <w:color w:val="000000" w:themeColor="text1"/>
                <w:sz w:val="24"/>
              </w:rPr>
              <w:t>Drug-gene association (DGA)</w:t>
            </w:r>
          </w:p>
        </w:tc>
        <w:tc>
          <w:tcPr>
            <w:tcW w:w="3578" w:type="pct"/>
            <w:tcBorders>
              <w:top w:val="single" w:sz="2" w:space="0" w:color="000000"/>
              <w:bottom w:val="single" w:sz="2" w:space="0" w:color="000000"/>
            </w:tcBorders>
            <w:vAlign w:val="center"/>
          </w:tcPr>
          <w:p w14:paraId="1AAAB2DA" w14:textId="77777777" w:rsidR="00053FB5" w:rsidRPr="00B748E3" w:rsidRDefault="00053FB5" w:rsidP="00DE4BAF">
            <w:pPr>
              <w:pStyle w:val="NormalWeb"/>
              <w:spacing w:before="120" w:beforeAutospacing="0" w:after="120" w:afterAutospacing="0" w:line="276" w:lineRule="auto"/>
              <w:rPr>
                <w:rFonts w:cs="Arial"/>
                <w:color w:val="000000" w:themeColor="text1"/>
              </w:rPr>
            </w:pPr>
            <w:r w:rsidRPr="00B748E3">
              <w:rPr>
                <w:rFonts w:ascii="Arial" w:hAnsi="Arial" w:cs="Arial"/>
                <w:color w:val="000000" w:themeColor="text1"/>
              </w:rPr>
              <w:t xml:space="preserve">A pharmacogenomic relationship where the presence of specific genetic variants affects the pharmacokinetics or pharmacodynamics of a drug or class of drugs. For certain genotypes a DGA may increase the risk of serious ADRs. </w:t>
            </w:r>
          </w:p>
        </w:tc>
      </w:tr>
      <w:tr w:rsidR="00053FB5" w:rsidRPr="00B476EC" w14:paraId="4B710981" w14:textId="77777777" w:rsidTr="00EA3BAC">
        <w:tc>
          <w:tcPr>
            <w:tcW w:w="1422" w:type="pct"/>
            <w:tcBorders>
              <w:top w:val="single" w:sz="2" w:space="0" w:color="000000"/>
              <w:bottom w:val="single" w:sz="2" w:space="0" w:color="000000"/>
            </w:tcBorders>
            <w:vAlign w:val="center"/>
          </w:tcPr>
          <w:p w14:paraId="7BEE2A2B" w14:textId="77777777" w:rsidR="00053FB5" w:rsidRPr="00B748E3" w:rsidRDefault="00053FB5" w:rsidP="00DE4BAF">
            <w:pPr>
              <w:pStyle w:val="TableText"/>
              <w:spacing w:line="276" w:lineRule="auto"/>
              <w:rPr>
                <w:sz w:val="24"/>
              </w:rPr>
            </w:pPr>
            <w:r w:rsidRPr="00B748E3">
              <w:rPr>
                <w:rFonts w:cs="Arial"/>
                <w:color w:val="000000" w:themeColor="text1"/>
                <w:sz w:val="24"/>
              </w:rPr>
              <w:t>Dispensing and verification stage</w:t>
            </w:r>
          </w:p>
        </w:tc>
        <w:tc>
          <w:tcPr>
            <w:tcW w:w="3578" w:type="pct"/>
            <w:tcBorders>
              <w:top w:val="single" w:sz="2" w:space="0" w:color="000000"/>
              <w:bottom w:val="single" w:sz="2" w:space="0" w:color="000000"/>
            </w:tcBorders>
            <w:vAlign w:val="center"/>
          </w:tcPr>
          <w:p w14:paraId="7AD4A955" w14:textId="77777777" w:rsidR="00053FB5" w:rsidRPr="00B748E3" w:rsidRDefault="00053FB5" w:rsidP="00DE4BAF">
            <w:pPr>
              <w:pStyle w:val="NormalWeb"/>
              <w:spacing w:before="120" w:beforeAutospacing="0" w:after="120" w:afterAutospacing="0" w:line="276" w:lineRule="auto"/>
              <w:rPr>
                <w:rFonts w:cs="Arial"/>
                <w:color w:val="000000" w:themeColor="text1"/>
              </w:rPr>
            </w:pPr>
            <w:r w:rsidRPr="00B748E3">
              <w:rPr>
                <w:rFonts w:ascii="Arial" w:hAnsi="Arial" w:cs="Arial"/>
                <w:color w:val="000000" w:themeColor="text1"/>
              </w:rPr>
              <w:t>The point in the lifecycle of a prescription where the authorised preparation and supply of medicines to a named individual (usually a patient) occurs, in line with the requirements of the prescription. The role is most often performed</w:t>
            </w:r>
            <w:r>
              <w:rPr>
                <w:rFonts w:ascii="Arial" w:hAnsi="Arial" w:cs="Arial"/>
                <w:color w:val="000000" w:themeColor="text1"/>
              </w:rPr>
              <w:t xml:space="preserve"> in a pharmacy</w:t>
            </w:r>
            <w:r w:rsidRPr="00B748E3">
              <w:rPr>
                <w:rFonts w:ascii="Arial" w:hAnsi="Arial" w:cs="Arial"/>
                <w:color w:val="000000" w:themeColor="text1"/>
              </w:rPr>
              <w:t xml:space="preserve">. This stage involves the correct interpretation of the intentions of the prescriber and may involve verification of this as part of the pharmacist’s legal duty.  </w:t>
            </w:r>
          </w:p>
        </w:tc>
      </w:tr>
      <w:tr w:rsidR="00053FB5" w:rsidRPr="00B476EC" w14:paraId="79D1F564" w14:textId="77777777" w:rsidTr="00EA3BAC">
        <w:tc>
          <w:tcPr>
            <w:tcW w:w="1422" w:type="pct"/>
            <w:tcBorders>
              <w:top w:val="single" w:sz="2" w:space="0" w:color="000000"/>
              <w:bottom w:val="single" w:sz="2" w:space="0" w:color="000000"/>
            </w:tcBorders>
            <w:vAlign w:val="center"/>
          </w:tcPr>
          <w:p w14:paraId="4A867BCB" w14:textId="77777777" w:rsidR="00053FB5" w:rsidRPr="00B748E3" w:rsidRDefault="00053FB5" w:rsidP="00DE4BAF">
            <w:pPr>
              <w:pStyle w:val="TableText"/>
              <w:spacing w:line="276" w:lineRule="auto"/>
              <w:rPr>
                <w:sz w:val="24"/>
              </w:rPr>
            </w:pPr>
            <w:r w:rsidRPr="00B748E3">
              <w:rPr>
                <w:sz w:val="24"/>
              </w:rPr>
              <w:t>DPWG</w:t>
            </w:r>
          </w:p>
        </w:tc>
        <w:tc>
          <w:tcPr>
            <w:tcW w:w="3578" w:type="pct"/>
            <w:tcBorders>
              <w:top w:val="single" w:sz="2" w:space="0" w:color="000000"/>
              <w:bottom w:val="single" w:sz="2" w:space="0" w:color="000000"/>
            </w:tcBorders>
            <w:vAlign w:val="center"/>
          </w:tcPr>
          <w:p w14:paraId="24480419" w14:textId="77777777" w:rsidR="00053FB5" w:rsidRPr="00B748E3" w:rsidRDefault="00053FB5" w:rsidP="00DE4BAF">
            <w:pPr>
              <w:pStyle w:val="TableText"/>
              <w:spacing w:line="276" w:lineRule="auto"/>
              <w:rPr>
                <w:sz w:val="24"/>
              </w:rPr>
            </w:pPr>
            <w:r w:rsidRPr="00B748E3">
              <w:rPr>
                <w:sz w:val="24"/>
              </w:rPr>
              <w:t>Dutch Pharmacogenetics Working Group</w:t>
            </w:r>
          </w:p>
        </w:tc>
      </w:tr>
      <w:tr w:rsidR="00053FB5" w:rsidRPr="00B476EC" w14:paraId="7C497C8A" w14:textId="77777777" w:rsidTr="00EA3BAC">
        <w:tc>
          <w:tcPr>
            <w:tcW w:w="1422" w:type="pct"/>
            <w:tcBorders>
              <w:top w:val="single" w:sz="2" w:space="0" w:color="000000"/>
              <w:bottom w:val="single" w:sz="2" w:space="0" w:color="000000"/>
            </w:tcBorders>
            <w:vAlign w:val="center"/>
          </w:tcPr>
          <w:p w14:paraId="06BFF405" w14:textId="77777777" w:rsidR="00053FB5" w:rsidRPr="00B748E3" w:rsidRDefault="00053FB5" w:rsidP="00DE4BAF">
            <w:pPr>
              <w:pStyle w:val="TableText"/>
              <w:spacing w:line="276" w:lineRule="auto"/>
              <w:rPr>
                <w:sz w:val="24"/>
              </w:rPr>
            </w:pPr>
            <w:r w:rsidRPr="00B748E3">
              <w:rPr>
                <w:rFonts w:cs="Arial"/>
                <w:color w:val="000000" w:themeColor="text1"/>
                <w:sz w:val="24"/>
              </w:rPr>
              <w:t>Electronic health record (EHR)</w:t>
            </w:r>
          </w:p>
        </w:tc>
        <w:tc>
          <w:tcPr>
            <w:tcW w:w="3578" w:type="pct"/>
            <w:tcBorders>
              <w:top w:val="single" w:sz="2" w:space="0" w:color="000000"/>
              <w:bottom w:val="single" w:sz="2" w:space="0" w:color="000000"/>
            </w:tcBorders>
            <w:vAlign w:val="center"/>
          </w:tcPr>
          <w:p w14:paraId="0D010C82" w14:textId="77777777" w:rsidR="00053FB5" w:rsidRPr="00B748E3" w:rsidRDefault="00053FB5" w:rsidP="00DE4BAF">
            <w:pPr>
              <w:pStyle w:val="NormalWeb"/>
              <w:spacing w:before="120" w:beforeAutospacing="0" w:after="120" w:afterAutospacing="0" w:line="276" w:lineRule="auto"/>
              <w:rPr>
                <w:rFonts w:cs="Arial"/>
                <w:color w:val="000000" w:themeColor="text1"/>
              </w:rPr>
            </w:pPr>
            <w:r w:rsidRPr="00B748E3">
              <w:rPr>
                <w:rFonts w:ascii="Arial" w:hAnsi="Arial" w:cs="Arial"/>
                <w:color w:val="000000" w:themeColor="text1"/>
              </w:rPr>
              <w:t xml:space="preserve">A secure and longitudinally maintained digital version of a patient’s paper medical record that is intended (insofar as is possible) as a complete repository of the key clinical and administrative data required for a patient’s care; including (but not limited to) that relating to a patient’s problems, encounters, past medical history, diagnoses, investigations, treatments, medications and workflow tasks (handover). Furthermore, the EHR may include certain functionalities so that the end-user can directly order laboratory tests and </w:t>
            </w:r>
            <w:r w:rsidRPr="00B748E3">
              <w:rPr>
                <w:rFonts w:ascii="Arial" w:hAnsi="Arial" w:cs="Arial"/>
                <w:color w:val="000000" w:themeColor="text1"/>
              </w:rPr>
              <w:lastRenderedPageBreak/>
              <w:t xml:space="preserve">prescription medications. </w:t>
            </w:r>
          </w:p>
        </w:tc>
      </w:tr>
      <w:tr w:rsidR="00053FB5" w:rsidRPr="00B476EC" w14:paraId="0B013AAB" w14:textId="77777777" w:rsidTr="00EA3BAC">
        <w:tc>
          <w:tcPr>
            <w:tcW w:w="1422" w:type="pct"/>
            <w:tcBorders>
              <w:top w:val="single" w:sz="2" w:space="0" w:color="000000"/>
              <w:bottom w:val="single" w:sz="2" w:space="0" w:color="000000"/>
            </w:tcBorders>
            <w:vAlign w:val="center"/>
          </w:tcPr>
          <w:p w14:paraId="2A3BA582" w14:textId="77777777" w:rsidR="00053FB5" w:rsidRPr="00B748E3" w:rsidRDefault="00053FB5" w:rsidP="00DE4BAF">
            <w:pPr>
              <w:pStyle w:val="TableText"/>
              <w:spacing w:line="276" w:lineRule="auto"/>
              <w:rPr>
                <w:rFonts w:cs="Arial"/>
                <w:color w:val="000000" w:themeColor="text1"/>
                <w:sz w:val="24"/>
              </w:rPr>
            </w:pPr>
            <w:r w:rsidRPr="00B748E3">
              <w:rPr>
                <w:rFonts w:cs="Arial"/>
                <w:color w:val="000000" w:themeColor="text1"/>
                <w:sz w:val="24"/>
              </w:rPr>
              <w:lastRenderedPageBreak/>
              <w:t>EMA</w:t>
            </w:r>
          </w:p>
        </w:tc>
        <w:tc>
          <w:tcPr>
            <w:tcW w:w="3578" w:type="pct"/>
            <w:tcBorders>
              <w:top w:val="single" w:sz="2" w:space="0" w:color="000000"/>
              <w:bottom w:val="single" w:sz="2" w:space="0" w:color="000000"/>
            </w:tcBorders>
            <w:vAlign w:val="center"/>
          </w:tcPr>
          <w:p w14:paraId="4D492AF1" w14:textId="77777777" w:rsidR="00053FB5" w:rsidRPr="00B748E3" w:rsidRDefault="00053FB5" w:rsidP="00DE4BAF">
            <w:pPr>
              <w:pStyle w:val="NormalWeb"/>
              <w:spacing w:before="120" w:after="120" w:line="276" w:lineRule="auto"/>
              <w:rPr>
                <w:rFonts w:ascii="Arial" w:hAnsi="Arial" w:cs="Arial"/>
                <w:color w:val="000000" w:themeColor="text1"/>
              </w:rPr>
            </w:pPr>
            <w:r w:rsidRPr="00B748E3">
              <w:rPr>
                <w:rFonts w:ascii="Arial" w:hAnsi="Arial" w:cs="Arial"/>
                <w:color w:val="000000" w:themeColor="text1"/>
              </w:rPr>
              <w:t>European Medicines Agency</w:t>
            </w:r>
          </w:p>
        </w:tc>
      </w:tr>
      <w:tr w:rsidR="00053FB5" w:rsidRPr="00B476EC" w14:paraId="3786CE00" w14:textId="77777777" w:rsidTr="00EA3BAC">
        <w:tc>
          <w:tcPr>
            <w:tcW w:w="1422" w:type="pct"/>
            <w:tcBorders>
              <w:top w:val="single" w:sz="2" w:space="0" w:color="000000"/>
              <w:bottom w:val="single" w:sz="2" w:space="0" w:color="000000"/>
            </w:tcBorders>
            <w:vAlign w:val="center"/>
          </w:tcPr>
          <w:p w14:paraId="493460CD" w14:textId="77777777" w:rsidR="00053FB5" w:rsidRPr="00B748E3" w:rsidRDefault="00053FB5" w:rsidP="00DE4BAF">
            <w:pPr>
              <w:pStyle w:val="TableText"/>
              <w:spacing w:line="276" w:lineRule="auto"/>
              <w:rPr>
                <w:rFonts w:cs="Arial"/>
                <w:color w:val="000000" w:themeColor="text1"/>
                <w:sz w:val="24"/>
              </w:rPr>
            </w:pPr>
            <w:r w:rsidRPr="00B748E3">
              <w:rPr>
                <w:rFonts w:cs="Arial"/>
                <w:color w:val="000000" w:themeColor="text1"/>
                <w:sz w:val="24"/>
              </w:rPr>
              <w:t>FASTQ</w:t>
            </w:r>
          </w:p>
        </w:tc>
        <w:tc>
          <w:tcPr>
            <w:tcW w:w="3578" w:type="pct"/>
            <w:tcBorders>
              <w:top w:val="single" w:sz="2" w:space="0" w:color="000000"/>
              <w:bottom w:val="single" w:sz="2" w:space="0" w:color="000000"/>
            </w:tcBorders>
            <w:vAlign w:val="center"/>
          </w:tcPr>
          <w:p w14:paraId="79727887" w14:textId="77777777" w:rsidR="00053FB5" w:rsidRPr="00B748E3" w:rsidRDefault="00053FB5" w:rsidP="00DE4BAF">
            <w:pPr>
              <w:pStyle w:val="NormalWeb"/>
              <w:spacing w:before="120" w:beforeAutospacing="0" w:after="120" w:afterAutospacing="0" w:line="276" w:lineRule="auto"/>
              <w:rPr>
                <w:rFonts w:ascii="Arial" w:hAnsi="Arial" w:cs="Arial"/>
                <w:color w:val="000000" w:themeColor="text1"/>
              </w:rPr>
            </w:pPr>
            <w:r w:rsidRPr="00B748E3">
              <w:rPr>
                <w:rFonts w:ascii="Arial" w:hAnsi="Arial" w:cs="Arial"/>
                <w:color w:val="000000" w:themeColor="text1"/>
              </w:rPr>
              <w:t>A text file containing a specific type of genetic sequence data</w:t>
            </w:r>
          </w:p>
        </w:tc>
      </w:tr>
      <w:tr w:rsidR="00053FB5" w:rsidRPr="00B476EC" w14:paraId="592E0F87" w14:textId="77777777" w:rsidTr="00EA3BAC">
        <w:tc>
          <w:tcPr>
            <w:tcW w:w="1422" w:type="pct"/>
            <w:tcBorders>
              <w:top w:val="single" w:sz="2" w:space="0" w:color="000000"/>
              <w:bottom w:val="single" w:sz="2" w:space="0" w:color="000000"/>
            </w:tcBorders>
            <w:vAlign w:val="center"/>
          </w:tcPr>
          <w:p w14:paraId="4999B2B0" w14:textId="77777777" w:rsidR="00053FB5" w:rsidRPr="00B748E3" w:rsidRDefault="00053FB5" w:rsidP="00DE4BAF">
            <w:pPr>
              <w:pStyle w:val="TableText"/>
              <w:spacing w:line="276" w:lineRule="auto"/>
              <w:rPr>
                <w:rFonts w:cs="Arial"/>
                <w:sz w:val="24"/>
              </w:rPr>
            </w:pPr>
            <w:r w:rsidRPr="00B748E3">
              <w:rPr>
                <w:rFonts w:cs="Arial"/>
                <w:sz w:val="24"/>
              </w:rPr>
              <w:t>FDA</w:t>
            </w:r>
          </w:p>
        </w:tc>
        <w:tc>
          <w:tcPr>
            <w:tcW w:w="3578" w:type="pct"/>
            <w:tcBorders>
              <w:top w:val="single" w:sz="2" w:space="0" w:color="000000"/>
              <w:bottom w:val="single" w:sz="2" w:space="0" w:color="000000"/>
            </w:tcBorders>
            <w:vAlign w:val="center"/>
          </w:tcPr>
          <w:p w14:paraId="2868D7DD" w14:textId="77777777" w:rsidR="00053FB5" w:rsidRPr="00B748E3" w:rsidRDefault="00053FB5" w:rsidP="00DE4BAF">
            <w:pPr>
              <w:pStyle w:val="TableText"/>
              <w:spacing w:line="276" w:lineRule="auto"/>
              <w:rPr>
                <w:rFonts w:cs="Arial"/>
                <w:sz w:val="24"/>
              </w:rPr>
            </w:pPr>
            <w:r w:rsidRPr="00B748E3">
              <w:rPr>
                <w:rFonts w:cs="Arial"/>
                <w:sz w:val="24"/>
              </w:rPr>
              <w:t>U.S Food and Drug Administration</w:t>
            </w:r>
          </w:p>
        </w:tc>
      </w:tr>
      <w:tr w:rsidR="00053FB5" w:rsidRPr="00B476EC" w14:paraId="3815917E" w14:textId="77777777" w:rsidTr="00EA3BAC">
        <w:tc>
          <w:tcPr>
            <w:tcW w:w="1422" w:type="pct"/>
            <w:tcBorders>
              <w:top w:val="single" w:sz="2" w:space="0" w:color="000000"/>
              <w:bottom w:val="single" w:sz="2" w:space="0" w:color="000000"/>
            </w:tcBorders>
            <w:vAlign w:val="center"/>
          </w:tcPr>
          <w:p w14:paraId="57168A81" w14:textId="77777777" w:rsidR="00053FB5" w:rsidRPr="00B748E3" w:rsidRDefault="00053FB5" w:rsidP="00DE4BAF">
            <w:pPr>
              <w:pStyle w:val="TableText"/>
              <w:spacing w:line="276" w:lineRule="auto"/>
              <w:rPr>
                <w:rFonts w:cs="Arial"/>
                <w:sz w:val="24"/>
              </w:rPr>
            </w:pPr>
            <w:r w:rsidRPr="00B748E3">
              <w:rPr>
                <w:rFonts w:cs="Arial"/>
                <w:sz w:val="24"/>
              </w:rPr>
              <w:t>FGR</w:t>
            </w:r>
          </w:p>
        </w:tc>
        <w:tc>
          <w:tcPr>
            <w:tcW w:w="3578" w:type="pct"/>
            <w:tcBorders>
              <w:top w:val="single" w:sz="2" w:space="0" w:color="000000"/>
              <w:bottom w:val="single" w:sz="2" w:space="0" w:color="000000"/>
            </w:tcBorders>
            <w:vAlign w:val="center"/>
          </w:tcPr>
          <w:p w14:paraId="16CC5640" w14:textId="77777777" w:rsidR="00053FB5" w:rsidRPr="00B748E3" w:rsidRDefault="00053FB5" w:rsidP="00DE4BAF">
            <w:pPr>
              <w:pStyle w:val="TableText"/>
              <w:spacing w:line="276" w:lineRule="auto"/>
              <w:rPr>
                <w:rFonts w:cs="Arial"/>
                <w:sz w:val="24"/>
              </w:rPr>
            </w:pPr>
            <w:r w:rsidRPr="00B748E3">
              <w:rPr>
                <w:rFonts w:cs="Arial"/>
                <w:sz w:val="24"/>
              </w:rPr>
              <w:t>Focus Group Report</w:t>
            </w:r>
          </w:p>
        </w:tc>
      </w:tr>
      <w:tr w:rsidR="00053FB5" w:rsidRPr="00B476EC" w14:paraId="2C98DEF5" w14:textId="77777777" w:rsidTr="00EA3BAC">
        <w:tc>
          <w:tcPr>
            <w:tcW w:w="1422" w:type="pct"/>
            <w:tcBorders>
              <w:top w:val="single" w:sz="2" w:space="0" w:color="000000"/>
              <w:bottom w:val="single" w:sz="2" w:space="0" w:color="000000"/>
            </w:tcBorders>
            <w:vAlign w:val="center"/>
          </w:tcPr>
          <w:p w14:paraId="2E7B6A1D" w14:textId="77777777" w:rsidR="00053FB5" w:rsidRPr="00B748E3" w:rsidRDefault="00053FB5" w:rsidP="00DE4BAF">
            <w:pPr>
              <w:pStyle w:val="TableText"/>
              <w:spacing w:line="276" w:lineRule="auto"/>
              <w:rPr>
                <w:rFonts w:cs="Arial"/>
                <w:sz w:val="24"/>
              </w:rPr>
            </w:pPr>
            <w:r w:rsidRPr="00B748E3">
              <w:rPr>
                <w:rFonts w:cs="Arial"/>
                <w:sz w:val="24"/>
              </w:rPr>
              <w:t>FG1</w:t>
            </w:r>
          </w:p>
        </w:tc>
        <w:tc>
          <w:tcPr>
            <w:tcW w:w="3578" w:type="pct"/>
            <w:tcBorders>
              <w:top w:val="single" w:sz="2" w:space="0" w:color="000000"/>
              <w:bottom w:val="single" w:sz="2" w:space="0" w:color="000000"/>
            </w:tcBorders>
            <w:vAlign w:val="center"/>
          </w:tcPr>
          <w:p w14:paraId="4FA29E1F" w14:textId="77777777" w:rsidR="00053FB5" w:rsidRPr="00B748E3" w:rsidRDefault="00053FB5" w:rsidP="00DE4BAF">
            <w:pPr>
              <w:pStyle w:val="TableText"/>
              <w:spacing w:line="276" w:lineRule="auto"/>
              <w:rPr>
                <w:rFonts w:cs="Arial"/>
                <w:sz w:val="24"/>
              </w:rPr>
            </w:pPr>
            <w:r w:rsidRPr="00B748E3">
              <w:rPr>
                <w:rFonts w:cs="Arial"/>
                <w:sz w:val="24"/>
              </w:rPr>
              <w:t>Focus Group 1</w:t>
            </w:r>
          </w:p>
        </w:tc>
      </w:tr>
      <w:tr w:rsidR="00053FB5" w:rsidRPr="00B476EC" w14:paraId="2622548F" w14:textId="77777777" w:rsidTr="00EA3BAC">
        <w:tc>
          <w:tcPr>
            <w:tcW w:w="1422" w:type="pct"/>
            <w:tcBorders>
              <w:top w:val="single" w:sz="2" w:space="0" w:color="000000"/>
              <w:bottom w:val="single" w:sz="2" w:space="0" w:color="000000"/>
            </w:tcBorders>
            <w:vAlign w:val="center"/>
          </w:tcPr>
          <w:p w14:paraId="7FAE32B8" w14:textId="77777777" w:rsidR="00053FB5" w:rsidRPr="00B748E3" w:rsidRDefault="00053FB5" w:rsidP="00DE4BAF">
            <w:pPr>
              <w:pStyle w:val="TableText"/>
              <w:spacing w:line="276" w:lineRule="auto"/>
              <w:rPr>
                <w:rFonts w:cs="Arial"/>
                <w:sz w:val="24"/>
              </w:rPr>
            </w:pPr>
            <w:r w:rsidRPr="00B748E3">
              <w:rPr>
                <w:rFonts w:cs="Arial"/>
                <w:sz w:val="24"/>
              </w:rPr>
              <w:t>FG2</w:t>
            </w:r>
          </w:p>
        </w:tc>
        <w:tc>
          <w:tcPr>
            <w:tcW w:w="3578" w:type="pct"/>
            <w:tcBorders>
              <w:top w:val="single" w:sz="2" w:space="0" w:color="000000"/>
              <w:bottom w:val="single" w:sz="2" w:space="0" w:color="000000"/>
            </w:tcBorders>
            <w:vAlign w:val="center"/>
          </w:tcPr>
          <w:p w14:paraId="58DCB541" w14:textId="77777777" w:rsidR="00053FB5" w:rsidRPr="00B748E3" w:rsidRDefault="00053FB5" w:rsidP="00DE4BAF">
            <w:pPr>
              <w:pStyle w:val="TableText"/>
              <w:spacing w:line="276" w:lineRule="auto"/>
              <w:rPr>
                <w:rFonts w:cs="Arial"/>
                <w:sz w:val="24"/>
              </w:rPr>
            </w:pPr>
            <w:r w:rsidRPr="00B748E3">
              <w:rPr>
                <w:rFonts w:cs="Arial"/>
                <w:sz w:val="24"/>
              </w:rPr>
              <w:t>Focus Group 2</w:t>
            </w:r>
          </w:p>
        </w:tc>
      </w:tr>
      <w:tr w:rsidR="00053FB5" w:rsidRPr="00B476EC" w14:paraId="160F4B53" w14:textId="77777777" w:rsidTr="00EA3BAC">
        <w:tc>
          <w:tcPr>
            <w:tcW w:w="1422" w:type="pct"/>
            <w:tcBorders>
              <w:top w:val="single" w:sz="2" w:space="0" w:color="000000"/>
              <w:bottom w:val="single" w:sz="2" w:space="0" w:color="000000"/>
            </w:tcBorders>
            <w:vAlign w:val="center"/>
          </w:tcPr>
          <w:p w14:paraId="0E12B28A" w14:textId="77777777" w:rsidR="00053FB5" w:rsidRPr="00B748E3" w:rsidRDefault="00053FB5" w:rsidP="00DE4BAF">
            <w:pPr>
              <w:pStyle w:val="TableText"/>
              <w:spacing w:line="276" w:lineRule="auto"/>
              <w:rPr>
                <w:rFonts w:cs="Arial"/>
                <w:sz w:val="24"/>
              </w:rPr>
            </w:pPr>
            <w:r w:rsidRPr="00B748E3">
              <w:rPr>
                <w:rFonts w:cs="Arial"/>
                <w:sz w:val="24"/>
              </w:rPr>
              <w:t>FHIR</w:t>
            </w:r>
          </w:p>
        </w:tc>
        <w:tc>
          <w:tcPr>
            <w:tcW w:w="3578" w:type="pct"/>
            <w:tcBorders>
              <w:top w:val="single" w:sz="2" w:space="0" w:color="000000"/>
              <w:bottom w:val="single" w:sz="2" w:space="0" w:color="000000"/>
            </w:tcBorders>
            <w:vAlign w:val="center"/>
          </w:tcPr>
          <w:p w14:paraId="7E5821A2" w14:textId="77777777" w:rsidR="00053FB5" w:rsidRPr="00B748E3" w:rsidRDefault="00053FB5" w:rsidP="00DE4BAF">
            <w:pPr>
              <w:pStyle w:val="TableText"/>
              <w:spacing w:line="276" w:lineRule="auto"/>
              <w:rPr>
                <w:rFonts w:cs="Arial"/>
                <w:sz w:val="24"/>
              </w:rPr>
            </w:pPr>
            <w:r w:rsidRPr="00B748E3">
              <w:rPr>
                <w:rFonts w:cs="Arial"/>
                <w:sz w:val="24"/>
              </w:rPr>
              <w:t>Fast Healthcare Interoperability Resources</w:t>
            </w:r>
          </w:p>
        </w:tc>
      </w:tr>
      <w:tr w:rsidR="00053FB5" w:rsidRPr="00B476EC" w14:paraId="3118E38B" w14:textId="77777777" w:rsidTr="00EA3BAC">
        <w:tc>
          <w:tcPr>
            <w:tcW w:w="1422" w:type="pct"/>
            <w:tcBorders>
              <w:top w:val="single" w:sz="2" w:space="0" w:color="000000"/>
              <w:bottom w:val="single" w:sz="2" w:space="0" w:color="000000"/>
            </w:tcBorders>
            <w:vAlign w:val="center"/>
          </w:tcPr>
          <w:p w14:paraId="63C97236" w14:textId="77777777" w:rsidR="00053FB5" w:rsidRPr="00B748E3" w:rsidRDefault="00053FB5" w:rsidP="00DE4BAF">
            <w:pPr>
              <w:pStyle w:val="TableText"/>
              <w:spacing w:line="276" w:lineRule="auto"/>
              <w:rPr>
                <w:rFonts w:cs="Arial"/>
                <w:sz w:val="24"/>
              </w:rPr>
            </w:pPr>
            <w:r w:rsidRPr="00B748E3">
              <w:rPr>
                <w:rFonts w:cs="Arial"/>
                <w:sz w:val="24"/>
              </w:rPr>
              <w:t>GACS</w:t>
            </w:r>
          </w:p>
        </w:tc>
        <w:tc>
          <w:tcPr>
            <w:tcW w:w="3578" w:type="pct"/>
            <w:tcBorders>
              <w:top w:val="single" w:sz="2" w:space="0" w:color="000000"/>
              <w:bottom w:val="single" w:sz="2" w:space="0" w:color="000000"/>
            </w:tcBorders>
            <w:vAlign w:val="center"/>
          </w:tcPr>
          <w:p w14:paraId="422F7143" w14:textId="77777777" w:rsidR="00053FB5" w:rsidRPr="00B748E3" w:rsidRDefault="00053FB5" w:rsidP="00DE4BAF">
            <w:pPr>
              <w:pStyle w:val="TableText"/>
              <w:spacing w:line="276" w:lineRule="auto"/>
              <w:rPr>
                <w:rFonts w:cs="Arial"/>
                <w:sz w:val="24"/>
              </w:rPr>
            </w:pPr>
            <w:r w:rsidRPr="00B748E3">
              <w:rPr>
                <w:rFonts w:cs="Arial"/>
                <w:sz w:val="24"/>
              </w:rPr>
              <w:t>Genomic Archiving and Communication System</w:t>
            </w:r>
          </w:p>
        </w:tc>
      </w:tr>
      <w:tr w:rsidR="00053FB5" w:rsidRPr="00B476EC" w14:paraId="60BEDC98" w14:textId="77777777" w:rsidTr="00EA3BAC">
        <w:tc>
          <w:tcPr>
            <w:tcW w:w="1422" w:type="pct"/>
            <w:tcBorders>
              <w:top w:val="single" w:sz="2" w:space="0" w:color="000000"/>
              <w:bottom w:val="single" w:sz="2" w:space="0" w:color="000000"/>
            </w:tcBorders>
            <w:vAlign w:val="center"/>
          </w:tcPr>
          <w:p w14:paraId="22DE1AEC" w14:textId="77777777" w:rsidR="00053FB5" w:rsidRPr="00B748E3" w:rsidRDefault="00053FB5" w:rsidP="00DE4BAF">
            <w:pPr>
              <w:pStyle w:val="TableText"/>
              <w:spacing w:line="276" w:lineRule="auto"/>
              <w:rPr>
                <w:rFonts w:cs="Arial"/>
                <w:sz w:val="24"/>
              </w:rPr>
            </w:pPr>
            <w:r w:rsidRPr="00B748E3">
              <w:rPr>
                <w:rFonts w:cs="Arial"/>
                <w:color w:val="000000" w:themeColor="text1"/>
                <w:sz w:val="24"/>
              </w:rPr>
              <w:t>Gene</w:t>
            </w:r>
          </w:p>
        </w:tc>
        <w:tc>
          <w:tcPr>
            <w:tcW w:w="3578" w:type="pct"/>
            <w:tcBorders>
              <w:top w:val="single" w:sz="2" w:space="0" w:color="000000"/>
              <w:bottom w:val="single" w:sz="2" w:space="0" w:color="000000"/>
            </w:tcBorders>
            <w:vAlign w:val="center"/>
          </w:tcPr>
          <w:p w14:paraId="3DBB97E4" w14:textId="77777777" w:rsidR="00053FB5" w:rsidRPr="00B748E3" w:rsidRDefault="00053FB5" w:rsidP="00DE4BAF">
            <w:pPr>
              <w:pStyle w:val="NormalWeb"/>
              <w:spacing w:before="120" w:beforeAutospacing="0" w:after="120" w:afterAutospacing="0" w:line="276" w:lineRule="auto"/>
              <w:rPr>
                <w:rFonts w:cs="Arial"/>
                <w:color w:val="000000" w:themeColor="text1"/>
              </w:rPr>
            </w:pPr>
            <w:r w:rsidRPr="00B748E3">
              <w:rPr>
                <w:rFonts w:ascii="Arial" w:hAnsi="Arial" w:cs="Arial"/>
                <w:color w:val="000000" w:themeColor="text1"/>
              </w:rPr>
              <w:t xml:space="preserve">A DNA sequence (contiguous or not) that comprises the basic functional unit of inheritance. The expression of a gene influences an individual’s phenotype. Every person has two copies of each gene; one inherited from each parent. </w:t>
            </w:r>
          </w:p>
        </w:tc>
      </w:tr>
      <w:tr w:rsidR="00053FB5" w:rsidRPr="00B476EC" w14:paraId="75B6099C" w14:textId="77777777" w:rsidTr="00EA3BAC">
        <w:tc>
          <w:tcPr>
            <w:tcW w:w="1422" w:type="pct"/>
            <w:tcBorders>
              <w:top w:val="single" w:sz="2" w:space="0" w:color="000000"/>
              <w:bottom w:val="single" w:sz="2" w:space="0" w:color="000000"/>
            </w:tcBorders>
            <w:vAlign w:val="center"/>
          </w:tcPr>
          <w:p w14:paraId="2B44382D" w14:textId="77777777" w:rsidR="00053FB5" w:rsidRPr="00B748E3" w:rsidRDefault="00053FB5" w:rsidP="00DE4BAF">
            <w:pPr>
              <w:pStyle w:val="TableText"/>
              <w:spacing w:line="276" w:lineRule="auto"/>
              <w:rPr>
                <w:rFonts w:cs="Arial"/>
                <w:color w:val="000000" w:themeColor="text1"/>
                <w:sz w:val="24"/>
              </w:rPr>
            </w:pPr>
            <w:bookmarkStart w:id="2" w:name="_GoBack"/>
            <w:bookmarkEnd w:id="2"/>
            <w:r w:rsidRPr="00B748E3">
              <w:rPr>
                <w:rFonts w:cs="Arial"/>
                <w:sz w:val="24"/>
              </w:rPr>
              <w:t>Genetic variant</w:t>
            </w:r>
          </w:p>
        </w:tc>
        <w:tc>
          <w:tcPr>
            <w:tcW w:w="3578" w:type="pct"/>
            <w:tcBorders>
              <w:top w:val="single" w:sz="2" w:space="0" w:color="000000"/>
              <w:bottom w:val="single" w:sz="2" w:space="0" w:color="000000"/>
            </w:tcBorders>
            <w:vAlign w:val="center"/>
          </w:tcPr>
          <w:p w14:paraId="732BE325" w14:textId="77777777" w:rsidR="00053FB5" w:rsidRPr="00B748E3" w:rsidRDefault="00053FB5" w:rsidP="00DE4BAF">
            <w:pPr>
              <w:pStyle w:val="NormalWeb"/>
              <w:spacing w:before="120" w:beforeAutospacing="0" w:after="120" w:afterAutospacing="0" w:line="276" w:lineRule="auto"/>
              <w:rPr>
                <w:rFonts w:ascii="Arial" w:hAnsi="Arial" w:cs="Arial"/>
              </w:rPr>
            </w:pPr>
            <w:r w:rsidRPr="00B748E3">
              <w:rPr>
                <w:rFonts w:ascii="Arial" w:hAnsi="Arial" w:cs="Arial"/>
              </w:rPr>
              <w:t>A difference in the DNA base sequence of an individual conferring a particular allele - at a specific nucleotide position, gene, or locus - that is less common than the most frequently encountered allele in the general population. The term does not automatically imply disease and different variants have characteristics that may be pathogenic, protective, predisposing, benign or otherwise.</w:t>
            </w:r>
          </w:p>
        </w:tc>
      </w:tr>
      <w:tr w:rsidR="00053FB5" w:rsidRPr="00B476EC" w14:paraId="7187338C" w14:textId="77777777" w:rsidTr="00EA3BAC">
        <w:tc>
          <w:tcPr>
            <w:tcW w:w="1422" w:type="pct"/>
            <w:tcBorders>
              <w:top w:val="single" w:sz="2" w:space="0" w:color="000000"/>
              <w:bottom w:val="single" w:sz="2" w:space="0" w:color="000000"/>
            </w:tcBorders>
            <w:vAlign w:val="center"/>
          </w:tcPr>
          <w:p w14:paraId="639B9996" w14:textId="77777777" w:rsidR="00053FB5" w:rsidRPr="00B748E3" w:rsidRDefault="00053FB5" w:rsidP="00DE4BAF">
            <w:pPr>
              <w:pStyle w:val="TableText"/>
              <w:spacing w:line="276" w:lineRule="auto"/>
              <w:rPr>
                <w:rFonts w:cs="Arial"/>
                <w:sz w:val="24"/>
              </w:rPr>
            </w:pPr>
            <w:r w:rsidRPr="00B748E3">
              <w:rPr>
                <w:rFonts w:cs="Arial"/>
                <w:sz w:val="24"/>
              </w:rPr>
              <w:t>Genome</w:t>
            </w:r>
          </w:p>
        </w:tc>
        <w:tc>
          <w:tcPr>
            <w:tcW w:w="3578" w:type="pct"/>
            <w:tcBorders>
              <w:top w:val="single" w:sz="2" w:space="0" w:color="000000"/>
              <w:bottom w:val="single" w:sz="2" w:space="0" w:color="000000"/>
            </w:tcBorders>
            <w:vAlign w:val="center"/>
          </w:tcPr>
          <w:p w14:paraId="635FE954" w14:textId="77777777" w:rsidR="00053FB5" w:rsidRPr="00B748E3" w:rsidRDefault="00053FB5" w:rsidP="00DE4BAF">
            <w:pPr>
              <w:pStyle w:val="NormalWeb"/>
              <w:spacing w:before="120" w:beforeAutospacing="0" w:after="120" w:afterAutospacing="0" w:line="276" w:lineRule="auto"/>
              <w:rPr>
                <w:rFonts w:ascii="Arial" w:hAnsi="Arial" w:cs="Arial"/>
              </w:rPr>
            </w:pPr>
            <w:r w:rsidRPr="00B748E3">
              <w:rPr>
                <w:rFonts w:ascii="Arial" w:hAnsi="Arial" w:cs="Arial"/>
              </w:rPr>
              <w:t xml:space="preserve">The complete set of an individual’s DNA including all of their genes. </w:t>
            </w:r>
          </w:p>
        </w:tc>
      </w:tr>
      <w:tr w:rsidR="00053FB5" w:rsidRPr="00B476EC" w14:paraId="25A5E00A" w14:textId="77777777" w:rsidTr="00EA3BAC">
        <w:tc>
          <w:tcPr>
            <w:tcW w:w="1422" w:type="pct"/>
            <w:tcBorders>
              <w:top w:val="single" w:sz="2" w:space="0" w:color="000000"/>
              <w:bottom w:val="single" w:sz="2" w:space="0" w:color="000000"/>
            </w:tcBorders>
            <w:vAlign w:val="center"/>
          </w:tcPr>
          <w:p w14:paraId="6AD1819C" w14:textId="77777777" w:rsidR="00053FB5" w:rsidRPr="00B748E3" w:rsidRDefault="00053FB5" w:rsidP="00DE4BAF">
            <w:pPr>
              <w:pStyle w:val="TableText"/>
              <w:spacing w:line="276" w:lineRule="auto"/>
              <w:rPr>
                <w:rFonts w:cs="Arial"/>
                <w:sz w:val="24"/>
              </w:rPr>
            </w:pPr>
            <w:r w:rsidRPr="00B748E3">
              <w:rPr>
                <w:rFonts w:cs="Arial"/>
                <w:sz w:val="24"/>
              </w:rPr>
              <w:t>Genotype</w:t>
            </w:r>
          </w:p>
        </w:tc>
        <w:tc>
          <w:tcPr>
            <w:tcW w:w="3578" w:type="pct"/>
            <w:tcBorders>
              <w:top w:val="single" w:sz="2" w:space="0" w:color="000000"/>
              <w:bottom w:val="single" w:sz="2" w:space="0" w:color="000000"/>
            </w:tcBorders>
            <w:vAlign w:val="center"/>
          </w:tcPr>
          <w:p w14:paraId="02663257" w14:textId="77777777" w:rsidR="00053FB5" w:rsidRPr="00B748E3" w:rsidRDefault="00053FB5" w:rsidP="00DE4BAF">
            <w:pPr>
              <w:pStyle w:val="NormalWeb"/>
              <w:spacing w:before="120" w:beforeAutospacing="0" w:after="120" w:afterAutospacing="0" w:line="276" w:lineRule="auto"/>
              <w:rPr>
                <w:rFonts w:ascii="Arial" w:hAnsi="Arial" w:cs="Arial"/>
                <w:b/>
                <w:bCs/>
                <w:color w:val="000000" w:themeColor="text1"/>
              </w:rPr>
            </w:pPr>
            <w:r w:rsidRPr="00B748E3">
              <w:rPr>
                <w:rFonts w:ascii="Arial" w:hAnsi="Arial" w:cs="Arial"/>
              </w:rPr>
              <w:t xml:space="preserve">Can refer to the overall combination of genes held by an individual in their genome or the two inherited alleles for a particular gene. </w:t>
            </w:r>
          </w:p>
        </w:tc>
      </w:tr>
      <w:tr w:rsidR="00053FB5" w:rsidRPr="00B476EC" w14:paraId="6EAF2C3F" w14:textId="77777777" w:rsidTr="00EA3BAC">
        <w:tc>
          <w:tcPr>
            <w:tcW w:w="1422" w:type="pct"/>
            <w:tcBorders>
              <w:top w:val="single" w:sz="2" w:space="0" w:color="000000"/>
              <w:bottom w:val="single" w:sz="2" w:space="0" w:color="000000"/>
            </w:tcBorders>
            <w:vAlign w:val="center"/>
          </w:tcPr>
          <w:p w14:paraId="6790AE75" w14:textId="77777777" w:rsidR="00053FB5" w:rsidRPr="00B748E3" w:rsidRDefault="00053FB5" w:rsidP="00DE4BAF">
            <w:pPr>
              <w:pStyle w:val="TableText"/>
              <w:spacing w:line="276" w:lineRule="auto"/>
              <w:rPr>
                <w:rFonts w:cs="Arial"/>
                <w:sz w:val="24"/>
              </w:rPr>
            </w:pPr>
            <w:r w:rsidRPr="00B748E3">
              <w:rPr>
                <w:rFonts w:cs="Arial"/>
                <w:color w:val="000000" w:themeColor="text1"/>
                <w:sz w:val="24"/>
              </w:rPr>
              <w:t>Genotyping</w:t>
            </w:r>
          </w:p>
        </w:tc>
        <w:tc>
          <w:tcPr>
            <w:tcW w:w="3578" w:type="pct"/>
            <w:tcBorders>
              <w:top w:val="single" w:sz="2" w:space="0" w:color="000000"/>
              <w:bottom w:val="single" w:sz="2" w:space="0" w:color="000000"/>
            </w:tcBorders>
            <w:vAlign w:val="center"/>
          </w:tcPr>
          <w:p w14:paraId="3481B2A5" w14:textId="77777777" w:rsidR="00053FB5" w:rsidRPr="00B748E3" w:rsidRDefault="00053FB5" w:rsidP="00DE4BAF">
            <w:pPr>
              <w:pStyle w:val="NormalWeb"/>
              <w:spacing w:before="120" w:beforeAutospacing="0" w:after="120" w:afterAutospacing="0" w:line="276" w:lineRule="auto"/>
              <w:rPr>
                <w:rFonts w:ascii="Arial" w:hAnsi="Arial" w:cs="Arial"/>
                <w:color w:val="000000" w:themeColor="text1"/>
              </w:rPr>
            </w:pPr>
            <w:r w:rsidRPr="00B748E3">
              <w:rPr>
                <w:rFonts w:ascii="Arial" w:hAnsi="Arial" w:cs="Arial"/>
                <w:color w:val="000000" w:themeColor="text1"/>
              </w:rPr>
              <w:t xml:space="preserve">An umbrella term for techniques used to determine the genotype of an individual that utilise assays to compare the individual’s DNA sequence to a predetermined reference sequence. These methods require prior identification of the genetic variants that are looked for. </w:t>
            </w:r>
          </w:p>
        </w:tc>
      </w:tr>
      <w:tr w:rsidR="00053FB5" w:rsidRPr="00B476EC" w14:paraId="2FF4610F" w14:textId="77777777" w:rsidTr="00EA3BAC">
        <w:tc>
          <w:tcPr>
            <w:tcW w:w="1422" w:type="pct"/>
            <w:tcBorders>
              <w:top w:val="single" w:sz="2" w:space="0" w:color="000000"/>
              <w:bottom w:val="single" w:sz="2" w:space="0" w:color="000000"/>
            </w:tcBorders>
            <w:vAlign w:val="center"/>
          </w:tcPr>
          <w:p w14:paraId="51415197" w14:textId="77777777" w:rsidR="00053FB5" w:rsidRPr="00B748E3" w:rsidRDefault="00053FB5" w:rsidP="00DE4BAF">
            <w:pPr>
              <w:pStyle w:val="TableText"/>
              <w:spacing w:line="276" w:lineRule="auto"/>
              <w:rPr>
                <w:rFonts w:cs="Arial"/>
                <w:color w:val="000000" w:themeColor="text1"/>
                <w:sz w:val="24"/>
              </w:rPr>
            </w:pPr>
            <w:r w:rsidRPr="00B748E3">
              <w:rPr>
                <w:rFonts w:cs="Arial"/>
                <w:color w:val="000000" w:themeColor="text1"/>
                <w:sz w:val="24"/>
              </w:rPr>
              <w:t>GIM</w:t>
            </w:r>
          </w:p>
        </w:tc>
        <w:tc>
          <w:tcPr>
            <w:tcW w:w="3578" w:type="pct"/>
            <w:tcBorders>
              <w:top w:val="single" w:sz="2" w:space="0" w:color="000000"/>
              <w:bottom w:val="single" w:sz="2" w:space="0" w:color="000000"/>
            </w:tcBorders>
            <w:vAlign w:val="center"/>
          </w:tcPr>
          <w:p w14:paraId="51E3EC7D" w14:textId="77777777" w:rsidR="00053FB5" w:rsidRPr="00B748E3" w:rsidRDefault="00053FB5" w:rsidP="00DE4BAF">
            <w:pPr>
              <w:pStyle w:val="NormalWeb"/>
              <w:spacing w:before="120" w:after="120" w:line="276" w:lineRule="auto"/>
              <w:rPr>
                <w:rFonts w:ascii="Arial" w:hAnsi="Arial" w:cs="Arial"/>
                <w:color w:val="000000" w:themeColor="text1"/>
              </w:rPr>
            </w:pPr>
            <w:r w:rsidRPr="00B748E3">
              <w:rPr>
                <w:rFonts w:ascii="Arial" w:hAnsi="Arial" w:cs="Arial"/>
                <w:color w:val="000000" w:themeColor="text1"/>
              </w:rPr>
              <w:t>General Internal Medicine</w:t>
            </w:r>
          </w:p>
        </w:tc>
      </w:tr>
      <w:tr w:rsidR="00053FB5" w:rsidRPr="00B476EC" w14:paraId="5512ECA2" w14:textId="77777777" w:rsidTr="00EA3BAC">
        <w:tc>
          <w:tcPr>
            <w:tcW w:w="1422" w:type="pct"/>
            <w:tcBorders>
              <w:top w:val="single" w:sz="2" w:space="0" w:color="000000"/>
              <w:bottom w:val="single" w:sz="2" w:space="0" w:color="000000"/>
            </w:tcBorders>
            <w:vAlign w:val="center"/>
          </w:tcPr>
          <w:p w14:paraId="4D3C5AA2" w14:textId="77777777" w:rsidR="00053FB5" w:rsidRPr="00B748E3" w:rsidRDefault="00053FB5" w:rsidP="00DE4BAF">
            <w:pPr>
              <w:pStyle w:val="TableText"/>
              <w:spacing w:line="276" w:lineRule="auto"/>
              <w:rPr>
                <w:rFonts w:cs="Arial"/>
                <w:sz w:val="24"/>
              </w:rPr>
            </w:pPr>
            <w:r w:rsidRPr="00B748E3">
              <w:rPr>
                <w:rFonts w:cs="Arial"/>
                <w:sz w:val="24"/>
              </w:rPr>
              <w:lastRenderedPageBreak/>
              <w:t>GP</w:t>
            </w:r>
          </w:p>
        </w:tc>
        <w:tc>
          <w:tcPr>
            <w:tcW w:w="3578" w:type="pct"/>
            <w:tcBorders>
              <w:top w:val="single" w:sz="2" w:space="0" w:color="000000"/>
              <w:bottom w:val="single" w:sz="2" w:space="0" w:color="000000"/>
            </w:tcBorders>
            <w:vAlign w:val="center"/>
          </w:tcPr>
          <w:p w14:paraId="1F6DDF0E" w14:textId="77777777" w:rsidR="00053FB5" w:rsidRPr="00B748E3" w:rsidRDefault="00053FB5" w:rsidP="00DE4BAF">
            <w:pPr>
              <w:pStyle w:val="TableText"/>
              <w:spacing w:line="276" w:lineRule="auto"/>
              <w:rPr>
                <w:rFonts w:cs="Arial"/>
                <w:sz w:val="24"/>
              </w:rPr>
            </w:pPr>
            <w:r w:rsidRPr="00B748E3">
              <w:rPr>
                <w:rFonts w:cs="Arial"/>
                <w:sz w:val="24"/>
              </w:rPr>
              <w:t>General Practitioner</w:t>
            </w:r>
          </w:p>
        </w:tc>
      </w:tr>
      <w:tr w:rsidR="00053FB5" w:rsidRPr="00B476EC" w14:paraId="050D5817" w14:textId="77777777" w:rsidTr="00EA3BAC">
        <w:tc>
          <w:tcPr>
            <w:tcW w:w="1422" w:type="pct"/>
            <w:tcBorders>
              <w:top w:val="single" w:sz="2" w:space="0" w:color="000000"/>
              <w:bottom w:val="single" w:sz="2" w:space="0" w:color="000000"/>
            </w:tcBorders>
            <w:vAlign w:val="center"/>
          </w:tcPr>
          <w:p w14:paraId="520CE6CE" w14:textId="77777777" w:rsidR="00053FB5" w:rsidRPr="00B748E3" w:rsidRDefault="00053FB5" w:rsidP="00DE4BAF">
            <w:pPr>
              <w:pStyle w:val="TableText"/>
              <w:spacing w:line="276" w:lineRule="auto"/>
              <w:rPr>
                <w:rFonts w:cs="Arial"/>
                <w:sz w:val="24"/>
              </w:rPr>
            </w:pPr>
            <w:r w:rsidRPr="00B748E3">
              <w:rPr>
                <w:rFonts w:cs="Arial"/>
                <w:color w:val="000000" w:themeColor="text1"/>
                <w:sz w:val="24"/>
              </w:rPr>
              <w:t>Interoperability standard</w:t>
            </w:r>
          </w:p>
        </w:tc>
        <w:tc>
          <w:tcPr>
            <w:tcW w:w="3578" w:type="pct"/>
            <w:tcBorders>
              <w:top w:val="single" w:sz="2" w:space="0" w:color="000000"/>
              <w:bottom w:val="single" w:sz="2" w:space="0" w:color="000000"/>
            </w:tcBorders>
            <w:vAlign w:val="center"/>
          </w:tcPr>
          <w:p w14:paraId="53FF5283" w14:textId="77777777" w:rsidR="00053FB5" w:rsidRPr="00B748E3" w:rsidRDefault="00053FB5" w:rsidP="00DE4BAF">
            <w:pPr>
              <w:pStyle w:val="NormalWeb"/>
              <w:spacing w:before="120" w:beforeAutospacing="0" w:after="120" w:afterAutospacing="0" w:line="276" w:lineRule="auto"/>
              <w:rPr>
                <w:rFonts w:cs="Arial"/>
                <w:color w:val="000000" w:themeColor="text1"/>
              </w:rPr>
            </w:pPr>
            <w:r w:rsidRPr="00B748E3">
              <w:rPr>
                <w:rFonts w:ascii="Arial" w:hAnsi="Arial" w:cs="Arial"/>
                <w:color w:val="000000" w:themeColor="text1"/>
              </w:rPr>
              <w:t>A document established by consensus and approved by a recognised body that provides guidance and rules governing the ability of multiple systems to exchange and use information.</w:t>
            </w:r>
          </w:p>
        </w:tc>
      </w:tr>
      <w:tr w:rsidR="00053FB5" w:rsidRPr="00B476EC" w14:paraId="64918963" w14:textId="77777777" w:rsidTr="00EA3BAC">
        <w:tc>
          <w:tcPr>
            <w:tcW w:w="1422" w:type="pct"/>
            <w:tcBorders>
              <w:top w:val="single" w:sz="2" w:space="0" w:color="000000"/>
              <w:bottom w:val="single" w:sz="2" w:space="0" w:color="000000"/>
            </w:tcBorders>
            <w:vAlign w:val="center"/>
          </w:tcPr>
          <w:p w14:paraId="6BF91E6E" w14:textId="77777777" w:rsidR="00053FB5" w:rsidRPr="00B748E3" w:rsidRDefault="00053FB5" w:rsidP="00DE4BAF">
            <w:pPr>
              <w:pStyle w:val="TableText"/>
              <w:spacing w:line="276" w:lineRule="auto"/>
              <w:rPr>
                <w:rFonts w:cs="Arial"/>
                <w:color w:val="000000" w:themeColor="text1"/>
                <w:sz w:val="24"/>
              </w:rPr>
            </w:pPr>
            <w:r>
              <w:rPr>
                <w:rFonts w:cs="Arial"/>
                <w:color w:val="000000" w:themeColor="text1"/>
                <w:sz w:val="24"/>
              </w:rPr>
              <w:t>Hard stop</w:t>
            </w:r>
          </w:p>
        </w:tc>
        <w:tc>
          <w:tcPr>
            <w:tcW w:w="3578" w:type="pct"/>
            <w:tcBorders>
              <w:top w:val="single" w:sz="2" w:space="0" w:color="000000"/>
              <w:bottom w:val="single" w:sz="2" w:space="0" w:color="000000"/>
            </w:tcBorders>
            <w:vAlign w:val="center"/>
          </w:tcPr>
          <w:p w14:paraId="4F114504" w14:textId="77777777" w:rsidR="00053FB5" w:rsidRPr="00373E81" w:rsidRDefault="00053FB5" w:rsidP="00DE4BAF">
            <w:pPr>
              <w:pStyle w:val="FootnoteText"/>
              <w:spacing w:before="120" w:after="120" w:line="276" w:lineRule="auto"/>
              <w:rPr>
                <w:sz w:val="24"/>
                <w:szCs w:val="24"/>
              </w:rPr>
            </w:pPr>
            <w:r>
              <w:rPr>
                <w:rFonts w:ascii="Arial" w:hAnsi="Arial" w:cs="Arial"/>
                <w:color w:val="000000" w:themeColor="text1"/>
                <w:sz w:val="24"/>
                <w:szCs w:val="24"/>
              </w:rPr>
              <w:t xml:space="preserve">An </w:t>
            </w:r>
            <w:r w:rsidRPr="00373E81">
              <w:rPr>
                <w:rFonts w:ascii="Arial" w:hAnsi="Arial" w:cs="Arial"/>
                <w:color w:val="000000" w:themeColor="text1"/>
                <w:sz w:val="24"/>
                <w:szCs w:val="24"/>
              </w:rPr>
              <w:t xml:space="preserve">active alert that either completely blocks the intended action of an end-user or prevents progression in the workflow without the intervention of a third-party. </w:t>
            </w:r>
          </w:p>
        </w:tc>
      </w:tr>
      <w:tr w:rsidR="00053FB5" w:rsidRPr="00B476EC" w14:paraId="6A75B6DA" w14:textId="77777777" w:rsidTr="00EA3BAC">
        <w:tc>
          <w:tcPr>
            <w:tcW w:w="1422" w:type="pct"/>
            <w:tcBorders>
              <w:top w:val="single" w:sz="2" w:space="0" w:color="000000"/>
              <w:bottom w:val="single" w:sz="2" w:space="0" w:color="000000"/>
            </w:tcBorders>
            <w:vAlign w:val="center"/>
          </w:tcPr>
          <w:p w14:paraId="3E507A20" w14:textId="77777777" w:rsidR="00053FB5" w:rsidRPr="00B748E3" w:rsidRDefault="00053FB5" w:rsidP="00DE4BAF">
            <w:pPr>
              <w:pStyle w:val="TableText"/>
              <w:spacing w:line="276" w:lineRule="auto"/>
              <w:rPr>
                <w:rFonts w:cs="Arial"/>
                <w:color w:val="000000" w:themeColor="text1"/>
                <w:sz w:val="24"/>
              </w:rPr>
            </w:pPr>
            <w:r w:rsidRPr="00B748E3">
              <w:rPr>
                <w:rFonts w:cs="Arial"/>
                <w:color w:val="000000" w:themeColor="text1"/>
                <w:sz w:val="24"/>
              </w:rPr>
              <w:t>ID</w:t>
            </w:r>
          </w:p>
        </w:tc>
        <w:tc>
          <w:tcPr>
            <w:tcW w:w="3578" w:type="pct"/>
            <w:tcBorders>
              <w:top w:val="single" w:sz="2" w:space="0" w:color="000000"/>
              <w:bottom w:val="single" w:sz="2" w:space="0" w:color="000000"/>
            </w:tcBorders>
            <w:vAlign w:val="center"/>
          </w:tcPr>
          <w:p w14:paraId="3069EB54" w14:textId="77777777" w:rsidR="00053FB5" w:rsidRPr="00B748E3" w:rsidRDefault="00053FB5" w:rsidP="00DE4BAF">
            <w:pPr>
              <w:pStyle w:val="NormalWeb"/>
              <w:spacing w:before="120" w:after="120" w:line="276" w:lineRule="auto"/>
              <w:rPr>
                <w:rFonts w:ascii="Arial" w:hAnsi="Arial" w:cs="Arial"/>
                <w:color w:val="000000" w:themeColor="text1"/>
              </w:rPr>
            </w:pPr>
            <w:r w:rsidRPr="00B748E3">
              <w:rPr>
                <w:rFonts w:ascii="Arial" w:hAnsi="Arial" w:cs="Arial"/>
                <w:color w:val="000000" w:themeColor="text1"/>
              </w:rPr>
              <w:t>Identification</w:t>
            </w:r>
          </w:p>
        </w:tc>
      </w:tr>
      <w:tr w:rsidR="00053FB5" w:rsidRPr="00B476EC" w14:paraId="69FFEE12" w14:textId="77777777" w:rsidTr="00EA3BAC">
        <w:tc>
          <w:tcPr>
            <w:tcW w:w="1422" w:type="pct"/>
            <w:tcBorders>
              <w:top w:val="single" w:sz="2" w:space="0" w:color="000000"/>
              <w:bottom w:val="single" w:sz="2" w:space="0" w:color="000000"/>
            </w:tcBorders>
            <w:vAlign w:val="center"/>
          </w:tcPr>
          <w:p w14:paraId="40F4B205" w14:textId="77777777" w:rsidR="00053FB5" w:rsidRPr="00B748E3" w:rsidRDefault="00053FB5" w:rsidP="00DE4BAF">
            <w:pPr>
              <w:pStyle w:val="TableText"/>
              <w:spacing w:line="276" w:lineRule="auto"/>
              <w:rPr>
                <w:rFonts w:cs="Arial"/>
                <w:color w:val="000000" w:themeColor="text1"/>
                <w:sz w:val="24"/>
              </w:rPr>
            </w:pPr>
            <w:r w:rsidRPr="00B748E3">
              <w:rPr>
                <w:rFonts w:cs="Arial"/>
                <w:color w:val="000000" w:themeColor="text1"/>
                <w:sz w:val="24"/>
              </w:rPr>
              <w:t>IT</w:t>
            </w:r>
          </w:p>
        </w:tc>
        <w:tc>
          <w:tcPr>
            <w:tcW w:w="3578" w:type="pct"/>
            <w:tcBorders>
              <w:top w:val="single" w:sz="2" w:space="0" w:color="000000"/>
              <w:bottom w:val="single" w:sz="2" w:space="0" w:color="000000"/>
            </w:tcBorders>
            <w:vAlign w:val="center"/>
          </w:tcPr>
          <w:p w14:paraId="065E4814" w14:textId="77777777" w:rsidR="00053FB5" w:rsidRPr="00B748E3" w:rsidRDefault="00053FB5" w:rsidP="00DE4BAF">
            <w:pPr>
              <w:pStyle w:val="NormalWeb"/>
              <w:spacing w:before="120" w:after="120" w:line="276" w:lineRule="auto"/>
              <w:rPr>
                <w:rFonts w:ascii="Arial" w:hAnsi="Arial" w:cs="Arial"/>
                <w:color w:val="000000" w:themeColor="text1"/>
              </w:rPr>
            </w:pPr>
            <w:r w:rsidRPr="00B748E3">
              <w:rPr>
                <w:rFonts w:ascii="Arial" w:hAnsi="Arial" w:cs="Arial"/>
                <w:color w:val="000000" w:themeColor="text1"/>
              </w:rPr>
              <w:t>Information Technology</w:t>
            </w:r>
          </w:p>
        </w:tc>
      </w:tr>
      <w:tr w:rsidR="00053FB5" w:rsidRPr="00B476EC" w14:paraId="5093C5A0" w14:textId="77777777" w:rsidTr="00EA3BAC">
        <w:tc>
          <w:tcPr>
            <w:tcW w:w="1422" w:type="pct"/>
            <w:tcBorders>
              <w:top w:val="single" w:sz="2" w:space="0" w:color="000000"/>
              <w:bottom w:val="single" w:sz="2" w:space="0" w:color="000000"/>
            </w:tcBorders>
            <w:vAlign w:val="center"/>
          </w:tcPr>
          <w:p w14:paraId="1A5D1B55" w14:textId="77777777" w:rsidR="00053FB5" w:rsidRPr="00B748E3" w:rsidRDefault="00053FB5" w:rsidP="00DE4BAF">
            <w:pPr>
              <w:pStyle w:val="TableText"/>
              <w:spacing w:line="276" w:lineRule="auto"/>
              <w:rPr>
                <w:rFonts w:cs="Arial"/>
                <w:color w:val="000000" w:themeColor="text1"/>
                <w:sz w:val="24"/>
              </w:rPr>
            </w:pPr>
            <w:r w:rsidRPr="00B748E3">
              <w:rPr>
                <w:rFonts w:cs="Arial"/>
                <w:sz w:val="24"/>
              </w:rPr>
              <w:t>JGPITC</w:t>
            </w:r>
          </w:p>
        </w:tc>
        <w:tc>
          <w:tcPr>
            <w:tcW w:w="3578" w:type="pct"/>
            <w:tcBorders>
              <w:top w:val="single" w:sz="2" w:space="0" w:color="000000"/>
              <w:bottom w:val="single" w:sz="2" w:space="0" w:color="000000"/>
            </w:tcBorders>
            <w:vAlign w:val="center"/>
          </w:tcPr>
          <w:p w14:paraId="00EE49D9" w14:textId="77777777" w:rsidR="00053FB5" w:rsidRPr="00B748E3" w:rsidRDefault="00053FB5" w:rsidP="00DE4BAF">
            <w:pPr>
              <w:pStyle w:val="NormalWeb"/>
              <w:spacing w:before="120" w:after="120" w:line="276" w:lineRule="auto"/>
              <w:rPr>
                <w:rFonts w:ascii="Arial" w:hAnsi="Arial" w:cs="Arial"/>
                <w:color w:val="000000" w:themeColor="text1"/>
              </w:rPr>
            </w:pPr>
            <w:r w:rsidRPr="00B748E3">
              <w:rPr>
                <w:rFonts w:ascii="Arial" w:hAnsi="Arial" w:cs="Arial"/>
                <w:color w:val="000000" w:themeColor="text1"/>
              </w:rPr>
              <w:t xml:space="preserve">Joint General Practice Information Technology Committee </w:t>
            </w:r>
          </w:p>
        </w:tc>
      </w:tr>
      <w:tr w:rsidR="00053FB5" w:rsidRPr="00B476EC" w14:paraId="00E138DE" w14:textId="77777777" w:rsidTr="00EA3BAC">
        <w:tc>
          <w:tcPr>
            <w:tcW w:w="1422" w:type="pct"/>
            <w:tcBorders>
              <w:top w:val="single" w:sz="2" w:space="0" w:color="000000"/>
              <w:bottom w:val="single" w:sz="2" w:space="0" w:color="000000"/>
            </w:tcBorders>
            <w:vAlign w:val="center"/>
          </w:tcPr>
          <w:p w14:paraId="50116304" w14:textId="77777777" w:rsidR="00053FB5" w:rsidRPr="00B748E3" w:rsidRDefault="00053FB5" w:rsidP="00DE4BAF">
            <w:pPr>
              <w:pStyle w:val="TableText"/>
              <w:spacing w:line="276" w:lineRule="auto"/>
              <w:rPr>
                <w:rFonts w:cs="Arial"/>
                <w:sz w:val="24"/>
              </w:rPr>
            </w:pPr>
            <w:r w:rsidRPr="00B748E3">
              <w:rPr>
                <w:rFonts w:cs="Arial"/>
                <w:sz w:val="24"/>
              </w:rPr>
              <w:t>LUMC</w:t>
            </w:r>
          </w:p>
        </w:tc>
        <w:tc>
          <w:tcPr>
            <w:tcW w:w="3578" w:type="pct"/>
            <w:tcBorders>
              <w:top w:val="single" w:sz="2" w:space="0" w:color="000000"/>
              <w:bottom w:val="single" w:sz="2" w:space="0" w:color="000000"/>
            </w:tcBorders>
            <w:vAlign w:val="center"/>
          </w:tcPr>
          <w:p w14:paraId="4610783B" w14:textId="77777777" w:rsidR="00053FB5" w:rsidRPr="00B748E3" w:rsidRDefault="00053FB5" w:rsidP="00DE4BAF">
            <w:pPr>
              <w:pStyle w:val="NormalWeb"/>
              <w:spacing w:before="120" w:after="120" w:line="276" w:lineRule="auto"/>
              <w:rPr>
                <w:rFonts w:ascii="Arial" w:hAnsi="Arial" w:cs="Arial"/>
                <w:color w:val="000000" w:themeColor="text1"/>
              </w:rPr>
            </w:pPr>
            <w:r w:rsidRPr="00B748E3">
              <w:rPr>
                <w:rFonts w:ascii="Arial" w:hAnsi="Arial" w:cs="Arial"/>
              </w:rPr>
              <w:t>Leiden University Medical Center</w:t>
            </w:r>
          </w:p>
        </w:tc>
      </w:tr>
      <w:tr w:rsidR="00053FB5" w:rsidRPr="00B476EC" w14:paraId="363BC907" w14:textId="77777777" w:rsidTr="00EA3BAC">
        <w:tc>
          <w:tcPr>
            <w:tcW w:w="1422" w:type="pct"/>
            <w:tcBorders>
              <w:top w:val="single" w:sz="2" w:space="0" w:color="000000"/>
              <w:bottom w:val="single" w:sz="2" w:space="0" w:color="000000"/>
            </w:tcBorders>
            <w:vAlign w:val="center"/>
          </w:tcPr>
          <w:p w14:paraId="5B4F506C" w14:textId="77777777" w:rsidR="00053FB5" w:rsidRPr="00B748E3" w:rsidRDefault="00053FB5" w:rsidP="00DE4BAF">
            <w:pPr>
              <w:pStyle w:val="TableText"/>
              <w:spacing w:line="276" w:lineRule="auto"/>
              <w:rPr>
                <w:rFonts w:cs="Arial"/>
                <w:sz w:val="24"/>
              </w:rPr>
            </w:pPr>
            <w:r w:rsidRPr="00B748E3">
              <w:rPr>
                <w:rFonts w:cs="Arial"/>
                <w:sz w:val="24"/>
              </w:rPr>
              <w:t>NHS</w:t>
            </w:r>
          </w:p>
        </w:tc>
        <w:tc>
          <w:tcPr>
            <w:tcW w:w="3578" w:type="pct"/>
            <w:tcBorders>
              <w:top w:val="single" w:sz="2" w:space="0" w:color="000000"/>
              <w:bottom w:val="single" w:sz="2" w:space="0" w:color="000000"/>
            </w:tcBorders>
            <w:vAlign w:val="center"/>
          </w:tcPr>
          <w:p w14:paraId="0CCD2CC9" w14:textId="77777777" w:rsidR="00053FB5" w:rsidRPr="00B748E3" w:rsidRDefault="00053FB5" w:rsidP="00DE4BAF">
            <w:pPr>
              <w:pStyle w:val="TableText"/>
              <w:spacing w:line="276" w:lineRule="auto"/>
              <w:rPr>
                <w:rFonts w:cs="Arial"/>
                <w:sz w:val="24"/>
              </w:rPr>
            </w:pPr>
            <w:r w:rsidRPr="00B748E3">
              <w:rPr>
                <w:rFonts w:cs="Arial"/>
                <w:sz w:val="24"/>
              </w:rPr>
              <w:t>National Health Service</w:t>
            </w:r>
          </w:p>
        </w:tc>
      </w:tr>
      <w:tr w:rsidR="00053FB5" w:rsidRPr="00B476EC" w14:paraId="54959D47" w14:textId="77777777" w:rsidTr="00EA3BAC">
        <w:tc>
          <w:tcPr>
            <w:tcW w:w="1422" w:type="pct"/>
            <w:tcBorders>
              <w:top w:val="single" w:sz="2" w:space="0" w:color="000000"/>
              <w:bottom w:val="single" w:sz="2" w:space="0" w:color="000000"/>
            </w:tcBorders>
            <w:vAlign w:val="center"/>
          </w:tcPr>
          <w:p w14:paraId="2E9BD940" w14:textId="77777777" w:rsidR="00053FB5" w:rsidRPr="00B748E3" w:rsidRDefault="00053FB5" w:rsidP="00DE4BAF">
            <w:pPr>
              <w:pStyle w:val="TableText"/>
              <w:spacing w:line="276" w:lineRule="auto"/>
              <w:rPr>
                <w:rFonts w:cs="Arial"/>
                <w:sz w:val="24"/>
              </w:rPr>
            </w:pPr>
            <w:r w:rsidRPr="00B748E3">
              <w:rPr>
                <w:rFonts w:cs="Arial"/>
                <w:sz w:val="24"/>
              </w:rPr>
              <w:t xml:space="preserve">NICE </w:t>
            </w:r>
          </w:p>
        </w:tc>
        <w:tc>
          <w:tcPr>
            <w:tcW w:w="3578" w:type="pct"/>
            <w:tcBorders>
              <w:top w:val="single" w:sz="2" w:space="0" w:color="000000"/>
              <w:bottom w:val="single" w:sz="2" w:space="0" w:color="000000"/>
            </w:tcBorders>
            <w:vAlign w:val="center"/>
          </w:tcPr>
          <w:p w14:paraId="2BEA3F92" w14:textId="77777777" w:rsidR="00053FB5" w:rsidRPr="00B748E3" w:rsidRDefault="00053FB5" w:rsidP="00DE4BAF">
            <w:pPr>
              <w:pStyle w:val="TableText"/>
              <w:spacing w:line="276" w:lineRule="auto"/>
              <w:rPr>
                <w:rFonts w:cs="Arial"/>
                <w:sz w:val="24"/>
              </w:rPr>
            </w:pPr>
            <w:r w:rsidRPr="00B748E3">
              <w:rPr>
                <w:rFonts w:cs="Arial"/>
                <w:sz w:val="24"/>
              </w:rPr>
              <w:t>The National Institute for Health and Care Excellence</w:t>
            </w:r>
          </w:p>
        </w:tc>
      </w:tr>
      <w:tr w:rsidR="00053FB5" w:rsidRPr="00B476EC" w14:paraId="7281975F" w14:textId="77777777" w:rsidTr="00EA3BAC">
        <w:tc>
          <w:tcPr>
            <w:tcW w:w="1422" w:type="pct"/>
            <w:tcBorders>
              <w:top w:val="single" w:sz="2" w:space="0" w:color="000000"/>
              <w:bottom w:val="single" w:sz="2" w:space="0" w:color="000000"/>
            </w:tcBorders>
            <w:vAlign w:val="center"/>
          </w:tcPr>
          <w:p w14:paraId="0ABF9373" w14:textId="77777777" w:rsidR="00053FB5" w:rsidRPr="00B748E3" w:rsidRDefault="00053FB5" w:rsidP="00DE4BAF">
            <w:pPr>
              <w:pStyle w:val="TableText"/>
              <w:spacing w:line="276" w:lineRule="auto"/>
              <w:rPr>
                <w:rFonts w:cs="Arial"/>
                <w:color w:val="000000" w:themeColor="text1"/>
                <w:sz w:val="24"/>
              </w:rPr>
            </w:pPr>
            <w:r w:rsidRPr="00B748E3">
              <w:rPr>
                <w:rFonts w:cs="Arial"/>
                <w:color w:val="000000" w:themeColor="text1"/>
                <w:sz w:val="24"/>
              </w:rPr>
              <w:t>Point of order entry</w:t>
            </w:r>
          </w:p>
        </w:tc>
        <w:tc>
          <w:tcPr>
            <w:tcW w:w="3578" w:type="pct"/>
            <w:tcBorders>
              <w:top w:val="single" w:sz="2" w:space="0" w:color="000000"/>
              <w:bottom w:val="single" w:sz="2" w:space="0" w:color="000000"/>
            </w:tcBorders>
            <w:vAlign w:val="center"/>
          </w:tcPr>
          <w:p w14:paraId="72885068" w14:textId="77777777" w:rsidR="00053FB5" w:rsidRPr="00B748E3" w:rsidRDefault="00053FB5" w:rsidP="00DE4BAF">
            <w:pPr>
              <w:pStyle w:val="NormalWeb"/>
              <w:spacing w:before="120" w:beforeAutospacing="0" w:after="120" w:afterAutospacing="0" w:line="276" w:lineRule="auto"/>
              <w:rPr>
                <w:rFonts w:ascii="Arial" w:hAnsi="Arial" w:cs="Arial"/>
                <w:color w:val="000000" w:themeColor="text1"/>
              </w:rPr>
            </w:pPr>
            <w:r w:rsidRPr="00B748E3">
              <w:rPr>
                <w:rFonts w:ascii="Arial" w:hAnsi="Arial" w:cs="Arial"/>
                <w:color w:val="000000" w:themeColor="text1"/>
              </w:rPr>
              <w:t>American terminology for the point a prescription is written in electronic prescribing systems</w:t>
            </w:r>
          </w:p>
        </w:tc>
      </w:tr>
      <w:tr w:rsidR="00053FB5" w:rsidRPr="00B476EC" w14:paraId="77F821ED" w14:textId="77777777" w:rsidTr="00EA3BAC">
        <w:tc>
          <w:tcPr>
            <w:tcW w:w="1422" w:type="pct"/>
            <w:tcBorders>
              <w:top w:val="single" w:sz="2" w:space="0" w:color="000000"/>
              <w:bottom w:val="single" w:sz="2" w:space="0" w:color="000000"/>
            </w:tcBorders>
            <w:vAlign w:val="center"/>
          </w:tcPr>
          <w:p w14:paraId="7098FF6F" w14:textId="77777777" w:rsidR="00053FB5" w:rsidRPr="00B748E3" w:rsidRDefault="00053FB5" w:rsidP="00DE4BAF">
            <w:pPr>
              <w:pStyle w:val="TableText"/>
              <w:spacing w:line="276" w:lineRule="auto"/>
              <w:rPr>
                <w:rFonts w:cs="Arial"/>
                <w:sz w:val="24"/>
              </w:rPr>
            </w:pPr>
            <w:r w:rsidRPr="00B748E3">
              <w:rPr>
                <w:rFonts w:cs="Arial"/>
                <w:color w:val="000000" w:themeColor="text1"/>
                <w:sz w:val="24"/>
              </w:rPr>
              <w:t>Notification</w:t>
            </w:r>
          </w:p>
        </w:tc>
        <w:tc>
          <w:tcPr>
            <w:tcW w:w="3578" w:type="pct"/>
            <w:tcBorders>
              <w:top w:val="single" w:sz="2" w:space="0" w:color="000000"/>
              <w:bottom w:val="single" w:sz="2" w:space="0" w:color="000000"/>
            </w:tcBorders>
            <w:vAlign w:val="center"/>
          </w:tcPr>
          <w:p w14:paraId="388C4321" w14:textId="77777777" w:rsidR="00053FB5" w:rsidRPr="00B748E3" w:rsidRDefault="00053FB5" w:rsidP="00DE4BAF">
            <w:pPr>
              <w:pStyle w:val="NormalWeb"/>
              <w:spacing w:before="120" w:beforeAutospacing="0" w:after="120" w:afterAutospacing="0" w:line="276" w:lineRule="auto"/>
              <w:rPr>
                <w:rFonts w:cs="Arial"/>
                <w:b/>
                <w:bCs/>
                <w:color w:val="000000" w:themeColor="text1"/>
              </w:rPr>
            </w:pPr>
            <w:r w:rsidRPr="00B748E3">
              <w:rPr>
                <w:rFonts w:ascii="Arial" w:hAnsi="Arial" w:cs="Arial"/>
                <w:color w:val="000000" w:themeColor="text1"/>
              </w:rPr>
              <w:t>A one-way communication used to convey information to an end-user. The term does not automatically imply a level of urgency.</w:t>
            </w:r>
          </w:p>
        </w:tc>
      </w:tr>
      <w:tr w:rsidR="00053FB5" w:rsidRPr="00B476EC" w14:paraId="0669870E" w14:textId="77777777" w:rsidTr="00EA3BAC">
        <w:tc>
          <w:tcPr>
            <w:tcW w:w="1422" w:type="pct"/>
            <w:tcBorders>
              <w:top w:val="single" w:sz="2" w:space="0" w:color="000000"/>
              <w:bottom w:val="single" w:sz="2" w:space="0" w:color="000000"/>
            </w:tcBorders>
            <w:vAlign w:val="center"/>
          </w:tcPr>
          <w:p w14:paraId="053A723E" w14:textId="77777777" w:rsidR="00053FB5" w:rsidRPr="00B748E3" w:rsidRDefault="00053FB5" w:rsidP="00DE4BAF">
            <w:pPr>
              <w:pStyle w:val="TableText"/>
              <w:spacing w:line="276" w:lineRule="auto"/>
              <w:rPr>
                <w:rFonts w:cs="Arial"/>
                <w:color w:val="000000" w:themeColor="text1"/>
                <w:sz w:val="24"/>
              </w:rPr>
            </w:pPr>
            <w:r w:rsidRPr="00B748E3">
              <w:rPr>
                <w:sz w:val="24"/>
              </w:rPr>
              <w:t>PACS</w:t>
            </w:r>
          </w:p>
        </w:tc>
        <w:tc>
          <w:tcPr>
            <w:tcW w:w="3578" w:type="pct"/>
            <w:tcBorders>
              <w:top w:val="single" w:sz="2" w:space="0" w:color="000000"/>
              <w:bottom w:val="single" w:sz="2" w:space="0" w:color="000000"/>
            </w:tcBorders>
            <w:vAlign w:val="center"/>
          </w:tcPr>
          <w:p w14:paraId="2E3D72CA" w14:textId="77777777" w:rsidR="00053FB5" w:rsidRPr="00B748E3" w:rsidRDefault="00053FB5" w:rsidP="00DE4BAF">
            <w:pPr>
              <w:pStyle w:val="NormalWeb"/>
              <w:spacing w:before="120" w:after="120" w:line="276" w:lineRule="auto"/>
              <w:rPr>
                <w:rFonts w:ascii="Arial" w:hAnsi="Arial" w:cs="Arial"/>
                <w:color w:val="000000" w:themeColor="text1"/>
              </w:rPr>
            </w:pPr>
            <w:r w:rsidRPr="00B748E3">
              <w:rPr>
                <w:rFonts w:ascii="Arial" w:hAnsi="Arial" w:cs="Arial"/>
                <w:color w:val="000000" w:themeColor="text1"/>
              </w:rPr>
              <w:t>Picture Archiving and Communication System</w:t>
            </w:r>
          </w:p>
        </w:tc>
      </w:tr>
      <w:tr w:rsidR="00053FB5" w:rsidRPr="00B476EC" w14:paraId="4FC75BD5" w14:textId="77777777" w:rsidTr="00EA3BAC">
        <w:tc>
          <w:tcPr>
            <w:tcW w:w="1422" w:type="pct"/>
            <w:tcBorders>
              <w:top w:val="single" w:sz="2" w:space="0" w:color="000000"/>
              <w:bottom w:val="single" w:sz="2" w:space="0" w:color="000000"/>
            </w:tcBorders>
            <w:vAlign w:val="center"/>
          </w:tcPr>
          <w:p w14:paraId="196EC522" w14:textId="77777777" w:rsidR="00053FB5" w:rsidRPr="00B748E3" w:rsidRDefault="00053FB5" w:rsidP="00DE4BAF">
            <w:pPr>
              <w:pStyle w:val="TableText"/>
              <w:spacing w:line="276" w:lineRule="auto"/>
              <w:rPr>
                <w:sz w:val="24"/>
              </w:rPr>
            </w:pPr>
            <w:r w:rsidRPr="00B748E3">
              <w:rPr>
                <w:sz w:val="24"/>
              </w:rPr>
              <w:t>PRCC</w:t>
            </w:r>
          </w:p>
        </w:tc>
        <w:tc>
          <w:tcPr>
            <w:tcW w:w="3578" w:type="pct"/>
            <w:tcBorders>
              <w:top w:val="single" w:sz="2" w:space="0" w:color="000000"/>
              <w:bottom w:val="single" w:sz="2" w:space="0" w:color="000000"/>
            </w:tcBorders>
            <w:vAlign w:val="center"/>
          </w:tcPr>
          <w:p w14:paraId="498D60CC" w14:textId="77777777" w:rsidR="00053FB5" w:rsidRPr="00B748E3" w:rsidRDefault="00053FB5" w:rsidP="00DE4BAF">
            <w:pPr>
              <w:pStyle w:val="NormalWeb"/>
              <w:spacing w:before="120" w:after="120" w:line="276" w:lineRule="auto"/>
              <w:rPr>
                <w:rFonts w:ascii="Arial" w:hAnsi="Arial" w:cs="Arial"/>
                <w:color w:val="000000" w:themeColor="text1"/>
              </w:rPr>
            </w:pPr>
            <w:r w:rsidRPr="00B748E3">
              <w:rPr>
                <w:rFonts w:ascii="Arial" w:hAnsi="Arial" w:cs="Arial"/>
                <w:color w:val="000000" w:themeColor="text1"/>
              </w:rPr>
              <w:t>Patient Representative Consultation Call</w:t>
            </w:r>
          </w:p>
        </w:tc>
      </w:tr>
      <w:tr w:rsidR="00053FB5" w:rsidRPr="00B476EC" w14:paraId="50E2FA55" w14:textId="77777777" w:rsidTr="00EA3BAC">
        <w:tc>
          <w:tcPr>
            <w:tcW w:w="1422" w:type="pct"/>
            <w:tcBorders>
              <w:top w:val="single" w:sz="2" w:space="0" w:color="000000"/>
              <w:bottom w:val="single" w:sz="2" w:space="0" w:color="000000"/>
            </w:tcBorders>
            <w:vAlign w:val="center"/>
          </w:tcPr>
          <w:p w14:paraId="2E1ADF89" w14:textId="77777777" w:rsidR="00053FB5" w:rsidRPr="00B748E3" w:rsidRDefault="00053FB5" w:rsidP="00DE4BAF">
            <w:pPr>
              <w:pStyle w:val="TableText"/>
              <w:spacing w:line="276" w:lineRule="auto"/>
              <w:rPr>
                <w:sz w:val="24"/>
              </w:rPr>
            </w:pPr>
            <w:r w:rsidRPr="00B748E3">
              <w:rPr>
                <w:rFonts w:cs="Arial"/>
                <w:color w:val="000000" w:themeColor="text1"/>
                <w:sz w:val="24"/>
              </w:rPr>
              <w:t>Pharmacogenomics</w:t>
            </w:r>
          </w:p>
        </w:tc>
        <w:tc>
          <w:tcPr>
            <w:tcW w:w="3578" w:type="pct"/>
            <w:tcBorders>
              <w:top w:val="single" w:sz="2" w:space="0" w:color="000000"/>
              <w:bottom w:val="single" w:sz="2" w:space="0" w:color="000000"/>
            </w:tcBorders>
            <w:vAlign w:val="center"/>
          </w:tcPr>
          <w:p w14:paraId="57FE467C" w14:textId="77777777" w:rsidR="00053FB5" w:rsidRPr="00B748E3" w:rsidRDefault="00053FB5" w:rsidP="00DE4BAF">
            <w:pPr>
              <w:pStyle w:val="NormalWeb"/>
              <w:spacing w:before="120" w:beforeAutospacing="0" w:after="120" w:afterAutospacing="0" w:line="276" w:lineRule="auto"/>
              <w:rPr>
                <w:rFonts w:cs="Arial"/>
                <w:color w:val="000000" w:themeColor="text1"/>
              </w:rPr>
            </w:pPr>
            <w:r w:rsidRPr="00B748E3">
              <w:rPr>
                <w:rFonts w:ascii="Arial" w:hAnsi="Arial" w:cs="Arial"/>
                <w:color w:val="000000" w:themeColor="text1"/>
              </w:rPr>
              <w:t xml:space="preserve">The study of how the genome influences the body’s response to drugs. </w:t>
            </w:r>
          </w:p>
        </w:tc>
      </w:tr>
      <w:tr w:rsidR="00053FB5" w:rsidRPr="00B476EC" w14:paraId="6A6D03B8" w14:textId="77777777" w:rsidTr="00EA3BAC">
        <w:tc>
          <w:tcPr>
            <w:tcW w:w="1422" w:type="pct"/>
            <w:tcBorders>
              <w:top w:val="single" w:sz="2" w:space="0" w:color="000000"/>
              <w:bottom w:val="single" w:sz="2" w:space="0" w:color="000000"/>
            </w:tcBorders>
            <w:vAlign w:val="center"/>
          </w:tcPr>
          <w:p w14:paraId="2EAA6F50" w14:textId="77777777" w:rsidR="00053FB5" w:rsidRPr="00B748E3" w:rsidRDefault="00053FB5" w:rsidP="00DE4BAF">
            <w:pPr>
              <w:pStyle w:val="TableText"/>
              <w:spacing w:line="276" w:lineRule="auto"/>
              <w:rPr>
                <w:rFonts w:cs="Arial"/>
                <w:color w:val="000000" w:themeColor="text1"/>
                <w:sz w:val="24"/>
              </w:rPr>
            </w:pPr>
            <w:r w:rsidRPr="00B748E3">
              <w:rPr>
                <w:rFonts w:cs="Arial"/>
                <w:color w:val="000000" w:themeColor="text1"/>
                <w:sz w:val="24"/>
              </w:rPr>
              <w:t>Phenotype</w:t>
            </w:r>
          </w:p>
        </w:tc>
        <w:tc>
          <w:tcPr>
            <w:tcW w:w="3578" w:type="pct"/>
            <w:tcBorders>
              <w:top w:val="single" w:sz="2" w:space="0" w:color="000000"/>
              <w:bottom w:val="single" w:sz="2" w:space="0" w:color="000000"/>
            </w:tcBorders>
            <w:vAlign w:val="center"/>
          </w:tcPr>
          <w:p w14:paraId="5B7D2122" w14:textId="77777777" w:rsidR="00053FB5" w:rsidRPr="00B748E3" w:rsidRDefault="00053FB5" w:rsidP="00DE4BAF">
            <w:pPr>
              <w:pStyle w:val="NormalWeb"/>
              <w:spacing w:before="120" w:beforeAutospacing="0" w:after="120" w:afterAutospacing="0" w:line="276" w:lineRule="auto"/>
              <w:rPr>
                <w:rFonts w:ascii="Arial" w:hAnsi="Arial" w:cs="Arial"/>
                <w:color w:val="000000" w:themeColor="text1"/>
              </w:rPr>
            </w:pPr>
            <w:r w:rsidRPr="00B748E3">
              <w:rPr>
                <w:rFonts w:ascii="Arial" w:hAnsi="Arial" w:cs="Arial"/>
                <w:color w:val="000000" w:themeColor="text1"/>
              </w:rPr>
              <w:t>The physically observable expressed characteristics of a gene or a combination of genes at the level of the organism. For example, eye colour, height, muscle density, biochemical properties, personality traits etc. Phenotype is determined by the interaction of the genotype expressed and the physical environment.</w:t>
            </w:r>
          </w:p>
        </w:tc>
      </w:tr>
      <w:tr w:rsidR="00053FB5" w:rsidRPr="00B476EC" w14:paraId="7E3D0730" w14:textId="77777777" w:rsidTr="00EA3BAC">
        <w:tc>
          <w:tcPr>
            <w:tcW w:w="1422" w:type="pct"/>
            <w:tcBorders>
              <w:top w:val="single" w:sz="2" w:space="0" w:color="000000"/>
              <w:bottom w:val="single" w:sz="2" w:space="0" w:color="000000"/>
            </w:tcBorders>
            <w:vAlign w:val="center"/>
          </w:tcPr>
          <w:p w14:paraId="73349909" w14:textId="77777777" w:rsidR="00053FB5" w:rsidRPr="00B748E3" w:rsidRDefault="00053FB5" w:rsidP="00DE4BAF">
            <w:pPr>
              <w:pStyle w:val="TableText"/>
              <w:spacing w:line="276" w:lineRule="auto"/>
              <w:rPr>
                <w:rFonts w:cs="Arial"/>
                <w:color w:val="000000" w:themeColor="text1"/>
                <w:sz w:val="24"/>
              </w:rPr>
            </w:pPr>
            <w:r w:rsidRPr="00B748E3">
              <w:rPr>
                <w:rFonts w:cs="Arial"/>
                <w:color w:val="000000" w:themeColor="text1"/>
                <w:sz w:val="24"/>
              </w:rPr>
              <w:t xml:space="preserve">PID </w:t>
            </w:r>
          </w:p>
        </w:tc>
        <w:tc>
          <w:tcPr>
            <w:tcW w:w="3578" w:type="pct"/>
            <w:tcBorders>
              <w:top w:val="single" w:sz="2" w:space="0" w:color="000000"/>
              <w:bottom w:val="single" w:sz="2" w:space="0" w:color="000000"/>
            </w:tcBorders>
            <w:vAlign w:val="center"/>
          </w:tcPr>
          <w:p w14:paraId="43DFDD63" w14:textId="77777777" w:rsidR="00053FB5" w:rsidRPr="00B748E3" w:rsidRDefault="00053FB5" w:rsidP="00DE4BAF">
            <w:pPr>
              <w:pStyle w:val="NormalWeb"/>
              <w:spacing w:before="120" w:after="120" w:line="276" w:lineRule="auto"/>
              <w:rPr>
                <w:rFonts w:ascii="Arial" w:hAnsi="Arial" w:cs="Arial"/>
                <w:color w:val="000000" w:themeColor="text1"/>
              </w:rPr>
            </w:pPr>
            <w:r w:rsidRPr="00B748E3">
              <w:rPr>
                <w:rFonts w:ascii="Arial" w:hAnsi="Arial" w:cs="Arial"/>
                <w:color w:val="000000" w:themeColor="text1"/>
              </w:rPr>
              <w:t>Project Initiation Document</w:t>
            </w:r>
          </w:p>
        </w:tc>
      </w:tr>
      <w:tr w:rsidR="00053FB5" w:rsidRPr="00B476EC" w14:paraId="22CAEE4C" w14:textId="77777777" w:rsidTr="00EA3BAC">
        <w:tc>
          <w:tcPr>
            <w:tcW w:w="1422" w:type="pct"/>
            <w:tcBorders>
              <w:top w:val="single" w:sz="2" w:space="0" w:color="000000"/>
              <w:bottom w:val="single" w:sz="2" w:space="0" w:color="000000"/>
            </w:tcBorders>
            <w:vAlign w:val="center"/>
          </w:tcPr>
          <w:p w14:paraId="0649AFAE" w14:textId="77777777" w:rsidR="00053FB5" w:rsidRPr="00B748E3" w:rsidRDefault="00053FB5" w:rsidP="00DE4BAF">
            <w:pPr>
              <w:pStyle w:val="TableText"/>
              <w:spacing w:line="276" w:lineRule="auto"/>
              <w:rPr>
                <w:rFonts w:cs="Arial"/>
                <w:color w:val="000000" w:themeColor="text1"/>
                <w:sz w:val="24"/>
              </w:rPr>
            </w:pPr>
            <w:r w:rsidRPr="00B748E3">
              <w:rPr>
                <w:rFonts w:cs="Arial"/>
                <w:color w:val="000000" w:themeColor="text1"/>
                <w:sz w:val="24"/>
              </w:rPr>
              <w:lastRenderedPageBreak/>
              <w:t>PREDICT</w:t>
            </w:r>
          </w:p>
        </w:tc>
        <w:tc>
          <w:tcPr>
            <w:tcW w:w="3578" w:type="pct"/>
            <w:tcBorders>
              <w:top w:val="single" w:sz="2" w:space="0" w:color="000000"/>
              <w:bottom w:val="single" w:sz="2" w:space="0" w:color="000000"/>
            </w:tcBorders>
            <w:vAlign w:val="center"/>
          </w:tcPr>
          <w:p w14:paraId="53E567C6" w14:textId="77777777" w:rsidR="00053FB5" w:rsidRPr="00B748E3" w:rsidRDefault="00053FB5" w:rsidP="00DE4BAF">
            <w:pPr>
              <w:pStyle w:val="NormalWeb"/>
              <w:spacing w:before="120" w:beforeAutospacing="0" w:after="120" w:afterAutospacing="0" w:line="276" w:lineRule="auto"/>
              <w:rPr>
                <w:rFonts w:ascii="Arial" w:hAnsi="Arial" w:cs="Arial"/>
                <w:color w:val="000000" w:themeColor="text1"/>
              </w:rPr>
            </w:pPr>
            <w:r w:rsidRPr="00B748E3">
              <w:rPr>
                <w:rFonts w:ascii="Arial" w:hAnsi="Arial" w:cs="Arial"/>
                <w:color w:val="000000" w:themeColor="text1"/>
              </w:rPr>
              <w:t>Pharmacogenomic Resource for Enhanced Decisions in Care &amp; Treatment</w:t>
            </w:r>
          </w:p>
        </w:tc>
      </w:tr>
      <w:tr w:rsidR="00053FB5" w:rsidRPr="00B476EC" w14:paraId="51C680C1" w14:textId="77777777" w:rsidTr="00EA3BAC">
        <w:tc>
          <w:tcPr>
            <w:tcW w:w="1422" w:type="pct"/>
            <w:tcBorders>
              <w:top w:val="single" w:sz="2" w:space="0" w:color="000000"/>
              <w:bottom w:val="single" w:sz="2" w:space="0" w:color="000000"/>
            </w:tcBorders>
            <w:vAlign w:val="center"/>
          </w:tcPr>
          <w:p w14:paraId="5E24AB81" w14:textId="77777777" w:rsidR="00053FB5" w:rsidRPr="00B748E3" w:rsidRDefault="00053FB5" w:rsidP="00DE4BAF">
            <w:pPr>
              <w:pStyle w:val="TableText"/>
              <w:spacing w:line="276" w:lineRule="auto"/>
              <w:rPr>
                <w:rFonts w:cs="Arial"/>
                <w:color w:val="000000" w:themeColor="text1"/>
                <w:sz w:val="24"/>
              </w:rPr>
            </w:pPr>
            <w:r w:rsidRPr="00B748E3">
              <w:rPr>
                <w:rFonts w:cs="Arial"/>
                <w:color w:val="000000" w:themeColor="text1"/>
                <w:sz w:val="24"/>
              </w:rPr>
              <w:t>Prescribing</w:t>
            </w:r>
          </w:p>
        </w:tc>
        <w:tc>
          <w:tcPr>
            <w:tcW w:w="3578" w:type="pct"/>
            <w:tcBorders>
              <w:top w:val="single" w:sz="2" w:space="0" w:color="000000"/>
              <w:bottom w:val="single" w:sz="2" w:space="0" w:color="000000"/>
            </w:tcBorders>
            <w:vAlign w:val="center"/>
          </w:tcPr>
          <w:p w14:paraId="3FD46228" w14:textId="77777777" w:rsidR="00053FB5" w:rsidRPr="00B748E3" w:rsidRDefault="00053FB5" w:rsidP="00DE4BAF">
            <w:pPr>
              <w:pStyle w:val="NormalWeb"/>
              <w:spacing w:before="120" w:beforeAutospacing="0" w:after="120" w:afterAutospacing="0" w:line="276" w:lineRule="auto"/>
              <w:rPr>
                <w:rFonts w:ascii="Arial" w:hAnsi="Arial" w:cs="Arial"/>
                <w:color w:val="000000" w:themeColor="text1"/>
              </w:rPr>
            </w:pPr>
            <w:r w:rsidRPr="00B748E3">
              <w:rPr>
                <w:rFonts w:ascii="Arial" w:hAnsi="Arial" w:cs="Arial"/>
                <w:color w:val="000000" w:themeColor="text1"/>
              </w:rPr>
              <w:t>The recorded authorisation (written or otherwise) for the use of a medicine or treatment by a health professional with prescribing authority.</w:t>
            </w:r>
          </w:p>
        </w:tc>
      </w:tr>
      <w:tr w:rsidR="00053FB5" w:rsidRPr="00B476EC" w14:paraId="29F0D663" w14:textId="77777777" w:rsidTr="00EA3BAC">
        <w:tc>
          <w:tcPr>
            <w:tcW w:w="1422" w:type="pct"/>
            <w:tcBorders>
              <w:top w:val="single" w:sz="2" w:space="0" w:color="000000"/>
              <w:bottom w:val="single" w:sz="2" w:space="0" w:color="000000"/>
            </w:tcBorders>
            <w:vAlign w:val="center"/>
          </w:tcPr>
          <w:p w14:paraId="47465F5A" w14:textId="77777777" w:rsidR="00053FB5" w:rsidRPr="00B748E3" w:rsidRDefault="00053FB5" w:rsidP="00DE4BAF">
            <w:pPr>
              <w:pStyle w:val="TableText"/>
              <w:spacing w:line="276" w:lineRule="auto"/>
              <w:rPr>
                <w:rFonts w:cs="Arial"/>
                <w:color w:val="000000" w:themeColor="text1"/>
                <w:sz w:val="24"/>
              </w:rPr>
            </w:pPr>
            <w:r w:rsidRPr="00B748E3">
              <w:rPr>
                <w:rFonts w:cs="Arial"/>
                <w:sz w:val="24"/>
              </w:rPr>
              <w:t>Problem</w:t>
            </w:r>
          </w:p>
        </w:tc>
        <w:tc>
          <w:tcPr>
            <w:tcW w:w="3578" w:type="pct"/>
            <w:tcBorders>
              <w:top w:val="single" w:sz="2" w:space="0" w:color="000000"/>
              <w:bottom w:val="single" w:sz="2" w:space="0" w:color="000000"/>
            </w:tcBorders>
            <w:vAlign w:val="center"/>
          </w:tcPr>
          <w:p w14:paraId="71C4E778" w14:textId="77777777" w:rsidR="00053FB5" w:rsidRPr="00B748E3" w:rsidRDefault="00053FB5" w:rsidP="00DE4BAF">
            <w:pPr>
              <w:pStyle w:val="NormalWeb"/>
              <w:spacing w:before="120" w:beforeAutospacing="0" w:after="120" w:afterAutospacing="0" w:line="276" w:lineRule="auto"/>
              <w:rPr>
                <w:rFonts w:ascii="Arial" w:hAnsi="Arial" w:cs="Arial"/>
              </w:rPr>
            </w:pPr>
            <w:r>
              <w:rPr>
                <w:rFonts w:ascii="Arial" w:hAnsi="Arial" w:cs="Arial"/>
              </w:rPr>
              <w:t>A</w:t>
            </w:r>
            <w:r w:rsidRPr="00B748E3">
              <w:rPr>
                <w:rFonts w:ascii="Arial" w:hAnsi="Arial" w:cs="Arial"/>
              </w:rPr>
              <w:t>ny condition experienced by a patient (such as a symptom or diagnosis) that the clinician feels is important enough to be recorded in the healthcare record.</w:t>
            </w:r>
          </w:p>
        </w:tc>
      </w:tr>
      <w:tr w:rsidR="00053FB5" w:rsidRPr="00B476EC" w14:paraId="540C812E" w14:textId="77777777" w:rsidTr="00EA3BAC">
        <w:tc>
          <w:tcPr>
            <w:tcW w:w="1422" w:type="pct"/>
            <w:tcBorders>
              <w:top w:val="single" w:sz="2" w:space="0" w:color="000000"/>
              <w:bottom w:val="single" w:sz="2" w:space="0" w:color="000000"/>
            </w:tcBorders>
            <w:vAlign w:val="center"/>
          </w:tcPr>
          <w:p w14:paraId="175D6E1B" w14:textId="77777777" w:rsidR="00053FB5" w:rsidRPr="00B748E3" w:rsidRDefault="00053FB5" w:rsidP="00DE4BAF">
            <w:pPr>
              <w:pStyle w:val="TableText"/>
              <w:spacing w:line="276" w:lineRule="auto"/>
              <w:rPr>
                <w:rFonts w:cs="Arial"/>
                <w:sz w:val="24"/>
              </w:rPr>
            </w:pPr>
            <w:r w:rsidRPr="00B748E3">
              <w:rPr>
                <w:rFonts w:cs="Arial"/>
                <w:color w:val="000000" w:themeColor="text1"/>
                <w:sz w:val="24"/>
              </w:rPr>
              <w:t>Problem list</w:t>
            </w:r>
          </w:p>
        </w:tc>
        <w:tc>
          <w:tcPr>
            <w:tcW w:w="3578" w:type="pct"/>
            <w:tcBorders>
              <w:top w:val="single" w:sz="2" w:space="0" w:color="000000"/>
              <w:bottom w:val="single" w:sz="2" w:space="0" w:color="000000"/>
            </w:tcBorders>
            <w:vAlign w:val="center"/>
          </w:tcPr>
          <w:p w14:paraId="7655C8FD" w14:textId="77777777" w:rsidR="00053FB5" w:rsidRPr="00B748E3" w:rsidRDefault="00053FB5" w:rsidP="00DE4BAF">
            <w:pPr>
              <w:pStyle w:val="NormalWeb"/>
              <w:spacing w:before="120" w:beforeAutospacing="0" w:after="120" w:afterAutospacing="0" w:line="276" w:lineRule="auto"/>
              <w:rPr>
                <w:rFonts w:ascii="Arial" w:hAnsi="Arial" w:cs="Arial"/>
              </w:rPr>
            </w:pPr>
            <w:r w:rsidRPr="00B748E3">
              <w:rPr>
                <w:rFonts w:ascii="Arial" w:hAnsi="Arial" w:cs="Arial"/>
              </w:rPr>
              <w:t xml:space="preserve">A current list of a patient’s problems or health issues, ideally with dates and stating which are active and inactive, which is intended to give clinicians a quick and accurate summary in future encounters. </w:t>
            </w:r>
          </w:p>
        </w:tc>
      </w:tr>
      <w:tr w:rsidR="00053FB5" w:rsidRPr="00B476EC" w14:paraId="1B615A3C" w14:textId="77777777" w:rsidTr="00EA3BAC">
        <w:tc>
          <w:tcPr>
            <w:tcW w:w="1422" w:type="pct"/>
            <w:tcBorders>
              <w:top w:val="single" w:sz="2" w:space="0" w:color="000000"/>
              <w:bottom w:val="single" w:sz="2" w:space="0" w:color="000000"/>
            </w:tcBorders>
            <w:vAlign w:val="center"/>
          </w:tcPr>
          <w:p w14:paraId="7EC49182" w14:textId="77777777" w:rsidR="00053FB5" w:rsidRPr="00B748E3" w:rsidRDefault="00053FB5" w:rsidP="00DE4BAF">
            <w:pPr>
              <w:pStyle w:val="TableText"/>
              <w:spacing w:line="276" w:lineRule="auto"/>
              <w:rPr>
                <w:sz w:val="24"/>
              </w:rPr>
            </w:pPr>
            <w:r w:rsidRPr="00B748E3">
              <w:rPr>
                <w:sz w:val="24"/>
              </w:rPr>
              <w:t>PRSB</w:t>
            </w:r>
          </w:p>
        </w:tc>
        <w:tc>
          <w:tcPr>
            <w:tcW w:w="3578" w:type="pct"/>
            <w:tcBorders>
              <w:top w:val="single" w:sz="2" w:space="0" w:color="000000"/>
              <w:bottom w:val="single" w:sz="2" w:space="0" w:color="000000"/>
            </w:tcBorders>
            <w:vAlign w:val="center"/>
          </w:tcPr>
          <w:p w14:paraId="560F1339" w14:textId="77777777" w:rsidR="00053FB5" w:rsidRPr="00B748E3" w:rsidRDefault="00053FB5" w:rsidP="00DE4BAF">
            <w:pPr>
              <w:pStyle w:val="TableText"/>
              <w:spacing w:line="276" w:lineRule="auto"/>
              <w:rPr>
                <w:sz w:val="24"/>
              </w:rPr>
            </w:pPr>
            <w:r w:rsidRPr="00B748E3">
              <w:rPr>
                <w:sz w:val="24"/>
              </w:rPr>
              <w:t>Professional Record Standards Body for health and social care</w:t>
            </w:r>
          </w:p>
        </w:tc>
      </w:tr>
      <w:tr w:rsidR="00053FB5" w:rsidRPr="00B476EC" w14:paraId="3CEA7D14" w14:textId="77777777" w:rsidTr="00EA3BAC">
        <w:tc>
          <w:tcPr>
            <w:tcW w:w="1422" w:type="pct"/>
            <w:tcBorders>
              <w:top w:val="single" w:sz="2" w:space="0" w:color="000000"/>
              <w:bottom w:val="single" w:sz="2" w:space="0" w:color="000000"/>
            </w:tcBorders>
            <w:vAlign w:val="center"/>
          </w:tcPr>
          <w:p w14:paraId="00CF7230" w14:textId="77777777" w:rsidR="00053FB5" w:rsidRPr="00B748E3" w:rsidRDefault="00053FB5" w:rsidP="00DE4BAF">
            <w:pPr>
              <w:pStyle w:val="TableText"/>
              <w:spacing w:line="276" w:lineRule="auto"/>
              <w:rPr>
                <w:sz w:val="24"/>
              </w:rPr>
            </w:pPr>
            <w:r w:rsidRPr="00B748E3">
              <w:rPr>
                <w:sz w:val="24"/>
              </w:rPr>
              <w:t>QA</w:t>
            </w:r>
          </w:p>
        </w:tc>
        <w:tc>
          <w:tcPr>
            <w:tcW w:w="3578" w:type="pct"/>
            <w:tcBorders>
              <w:top w:val="single" w:sz="2" w:space="0" w:color="000000"/>
              <w:bottom w:val="single" w:sz="2" w:space="0" w:color="000000"/>
            </w:tcBorders>
            <w:vAlign w:val="center"/>
          </w:tcPr>
          <w:p w14:paraId="315C4C5E" w14:textId="77777777" w:rsidR="00053FB5" w:rsidRPr="00B748E3" w:rsidRDefault="00053FB5" w:rsidP="00DE4BAF">
            <w:pPr>
              <w:pStyle w:val="TableText"/>
              <w:spacing w:line="276" w:lineRule="auto"/>
              <w:rPr>
                <w:sz w:val="24"/>
              </w:rPr>
            </w:pPr>
            <w:r w:rsidRPr="00B748E3">
              <w:rPr>
                <w:sz w:val="24"/>
              </w:rPr>
              <w:t>Quality Assurance</w:t>
            </w:r>
          </w:p>
        </w:tc>
      </w:tr>
      <w:tr w:rsidR="00053FB5" w:rsidRPr="00B476EC" w14:paraId="108E3559" w14:textId="77777777" w:rsidTr="00EA3BAC">
        <w:tc>
          <w:tcPr>
            <w:tcW w:w="1422" w:type="pct"/>
            <w:tcBorders>
              <w:top w:val="single" w:sz="2" w:space="0" w:color="000000"/>
              <w:bottom w:val="single" w:sz="2" w:space="0" w:color="000000"/>
            </w:tcBorders>
            <w:vAlign w:val="center"/>
          </w:tcPr>
          <w:p w14:paraId="0ACD3FD3" w14:textId="77777777" w:rsidR="00053FB5" w:rsidRPr="00B748E3" w:rsidRDefault="00053FB5" w:rsidP="00DE4BAF">
            <w:pPr>
              <w:pStyle w:val="TableText"/>
              <w:spacing w:line="276" w:lineRule="auto"/>
              <w:rPr>
                <w:sz w:val="24"/>
              </w:rPr>
            </w:pPr>
            <w:r w:rsidRPr="00B748E3">
              <w:rPr>
                <w:sz w:val="24"/>
              </w:rPr>
              <w:t>RCGP</w:t>
            </w:r>
          </w:p>
        </w:tc>
        <w:tc>
          <w:tcPr>
            <w:tcW w:w="3578" w:type="pct"/>
            <w:tcBorders>
              <w:top w:val="single" w:sz="2" w:space="0" w:color="000000"/>
              <w:bottom w:val="single" w:sz="2" w:space="0" w:color="000000"/>
            </w:tcBorders>
            <w:vAlign w:val="center"/>
          </w:tcPr>
          <w:p w14:paraId="7F162B75" w14:textId="77777777" w:rsidR="00053FB5" w:rsidRPr="00B748E3" w:rsidRDefault="00053FB5" w:rsidP="00DE4BAF">
            <w:pPr>
              <w:pStyle w:val="TableText"/>
              <w:spacing w:line="276" w:lineRule="auto"/>
              <w:rPr>
                <w:sz w:val="24"/>
              </w:rPr>
            </w:pPr>
            <w:r w:rsidRPr="00B748E3">
              <w:rPr>
                <w:sz w:val="24"/>
              </w:rPr>
              <w:t>Royal College of General Practitioners</w:t>
            </w:r>
          </w:p>
        </w:tc>
      </w:tr>
      <w:tr w:rsidR="00053FB5" w:rsidRPr="00B476EC" w14:paraId="34AFD8EE" w14:textId="77777777" w:rsidTr="00EA3BAC">
        <w:tc>
          <w:tcPr>
            <w:tcW w:w="1422" w:type="pct"/>
            <w:tcBorders>
              <w:top w:val="single" w:sz="2" w:space="0" w:color="000000"/>
              <w:bottom w:val="single" w:sz="2" w:space="0" w:color="000000"/>
            </w:tcBorders>
            <w:vAlign w:val="center"/>
          </w:tcPr>
          <w:p w14:paraId="3AA144F7" w14:textId="77777777" w:rsidR="00053FB5" w:rsidRPr="00B748E3" w:rsidRDefault="00053FB5" w:rsidP="00DE4BAF">
            <w:pPr>
              <w:pStyle w:val="TableText"/>
              <w:spacing w:line="276" w:lineRule="auto"/>
              <w:rPr>
                <w:sz w:val="24"/>
              </w:rPr>
            </w:pPr>
            <w:r w:rsidRPr="00B748E3">
              <w:rPr>
                <w:sz w:val="24"/>
              </w:rPr>
              <w:t>RCPCH</w:t>
            </w:r>
          </w:p>
        </w:tc>
        <w:tc>
          <w:tcPr>
            <w:tcW w:w="3578" w:type="pct"/>
            <w:tcBorders>
              <w:top w:val="single" w:sz="2" w:space="0" w:color="000000"/>
              <w:bottom w:val="single" w:sz="2" w:space="0" w:color="000000"/>
            </w:tcBorders>
            <w:vAlign w:val="center"/>
          </w:tcPr>
          <w:p w14:paraId="57DF82F5" w14:textId="77777777" w:rsidR="00053FB5" w:rsidRPr="00B748E3" w:rsidRDefault="00053FB5" w:rsidP="00DE4BAF">
            <w:pPr>
              <w:pStyle w:val="TableText"/>
              <w:spacing w:line="276" w:lineRule="auto"/>
              <w:rPr>
                <w:sz w:val="24"/>
              </w:rPr>
            </w:pPr>
            <w:r w:rsidRPr="00B748E3">
              <w:rPr>
                <w:sz w:val="24"/>
              </w:rPr>
              <w:t>Royal College of Paediatrics and Child Health</w:t>
            </w:r>
          </w:p>
        </w:tc>
      </w:tr>
      <w:tr w:rsidR="00053FB5" w:rsidRPr="00B476EC" w14:paraId="7027D7F0" w14:textId="77777777" w:rsidTr="00EA3BAC">
        <w:tc>
          <w:tcPr>
            <w:tcW w:w="1422" w:type="pct"/>
            <w:tcBorders>
              <w:top w:val="single" w:sz="2" w:space="0" w:color="000000"/>
              <w:bottom w:val="single" w:sz="2" w:space="0" w:color="000000"/>
            </w:tcBorders>
            <w:vAlign w:val="center"/>
          </w:tcPr>
          <w:p w14:paraId="5921F9D3" w14:textId="77777777" w:rsidR="00053FB5" w:rsidRPr="00B748E3" w:rsidRDefault="00053FB5" w:rsidP="00DE4BAF">
            <w:pPr>
              <w:pStyle w:val="TableText"/>
              <w:spacing w:line="276" w:lineRule="auto"/>
              <w:rPr>
                <w:sz w:val="24"/>
              </w:rPr>
            </w:pPr>
            <w:r w:rsidRPr="00B748E3">
              <w:rPr>
                <w:rFonts w:cs="Arial"/>
                <w:sz w:val="24"/>
              </w:rPr>
              <w:t>RCPsych</w:t>
            </w:r>
          </w:p>
        </w:tc>
        <w:tc>
          <w:tcPr>
            <w:tcW w:w="3578" w:type="pct"/>
            <w:tcBorders>
              <w:top w:val="single" w:sz="2" w:space="0" w:color="000000"/>
              <w:bottom w:val="single" w:sz="2" w:space="0" w:color="000000"/>
            </w:tcBorders>
            <w:vAlign w:val="center"/>
          </w:tcPr>
          <w:p w14:paraId="077A0BEB" w14:textId="77777777" w:rsidR="00053FB5" w:rsidRPr="00B748E3" w:rsidRDefault="00053FB5" w:rsidP="00DE4BAF">
            <w:pPr>
              <w:pStyle w:val="TableText"/>
              <w:spacing w:line="276" w:lineRule="auto"/>
              <w:rPr>
                <w:sz w:val="24"/>
              </w:rPr>
            </w:pPr>
            <w:r w:rsidRPr="00B748E3">
              <w:rPr>
                <w:sz w:val="24"/>
              </w:rPr>
              <w:t>Royal College of Psychiatrists</w:t>
            </w:r>
          </w:p>
        </w:tc>
      </w:tr>
      <w:tr w:rsidR="00053FB5" w:rsidRPr="00B476EC" w14:paraId="0B455440" w14:textId="77777777" w:rsidTr="00EA3BAC">
        <w:tc>
          <w:tcPr>
            <w:tcW w:w="1422" w:type="pct"/>
            <w:tcBorders>
              <w:top w:val="single" w:sz="2" w:space="0" w:color="000000"/>
              <w:bottom w:val="single" w:sz="2" w:space="0" w:color="000000"/>
            </w:tcBorders>
            <w:vAlign w:val="center"/>
          </w:tcPr>
          <w:p w14:paraId="4393FA6A" w14:textId="77777777" w:rsidR="00053FB5" w:rsidRPr="00B748E3" w:rsidRDefault="00053FB5" w:rsidP="00DE4BAF">
            <w:pPr>
              <w:pStyle w:val="TableText"/>
              <w:spacing w:line="276" w:lineRule="auto"/>
              <w:rPr>
                <w:rFonts w:cs="Arial"/>
                <w:sz w:val="24"/>
              </w:rPr>
            </w:pPr>
            <w:r w:rsidRPr="00B748E3">
              <w:rPr>
                <w:rFonts w:cs="Arial"/>
                <w:sz w:val="24"/>
              </w:rPr>
              <w:t>RCSE</w:t>
            </w:r>
          </w:p>
        </w:tc>
        <w:tc>
          <w:tcPr>
            <w:tcW w:w="3578" w:type="pct"/>
            <w:tcBorders>
              <w:top w:val="single" w:sz="2" w:space="0" w:color="000000"/>
              <w:bottom w:val="single" w:sz="2" w:space="0" w:color="000000"/>
            </w:tcBorders>
            <w:vAlign w:val="center"/>
          </w:tcPr>
          <w:p w14:paraId="1EFA8176" w14:textId="77777777" w:rsidR="00053FB5" w:rsidRPr="00B748E3" w:rsidRDefault="00053FB5" w:rsidP="00DE4BAF">
            <w:pPr>
              <w:pStyle w:val="TableText"/>
              <w:spacing w:line="276" w:lineRule="auto"/>
              <w:rPr>
                <w:sz w:val="24"/>
              </w:rPr>
            </w:pPr>
            <w:r w:rsidRPr="00B748E3">
              <w:rPr>
                <w:sz w:val="24"/>
              </w:rPr>
              <w:t>Royal College of Surgeons of England</w:t>
            </w:r>
          </w:p>
        </w:tc>
      </w:tr>
      <w:tr w:rsidR="00053FB5" w:rsidRPr="00B476EC" w14:paraId="15B7A0E5" w14:textId="77777777" w:rsidTr="00EA3BAC">
        <w:tc>
          <w:tcPr>
            <w:tcW w:w="1422" w:type="pct"/>
            <w:tcBorders>
              <w:top w:val="single" w:sz="2" w:space="0" w:color="000000"/>
              <w:bottom w:val="single" w:sz="2" w:space="0" w:color="000000"/>
            </w:tcBorders>
            <w:vAlign w:val="center"/>
          </w:tcPr>
          <w:p w14:paraId="7DBDE08E" w14:textId="77777777" w:rsidR="00053FB5" w:rsidRPr="00B748E3" w:rsidRDefault="00053FB5" w:rsidP="00DE4BAF">
            <w:pPr>
              <w:pStyle w:val="TableText"/>
              <w:spacing w:line="276" w:lineRule="auto"/>
              <w:rPr>
                <w:sz w:val="24"/>
              </w:rPr>
            </w:pPr>
            <w:r w:rsidRPr="00B748E3">
              <w:rPr>
                <w:sz w:val="24"/>
              </w:rPr>
              <w:t>RCT</w:t>
            </w:r>
          </w:p>
        </w:tc>
        <w:tc>
          <w:tcPr>
            <w:tcW w:w="3578" w:type="pct"/>
            <w:tcBorders>
              <w:top w:val="single" w:sz="2" w:space="0" w:color="000000"/>
              <w:bottom w:val="single" w:sz="2" w:space="0" w:color="000000"/>
            </w:tcBorders>
            <w:vAlign w:val="center"/>
          </w:tcPr>
          <w:p w14:paraId="785CA876" w14:textId="77777777" w:rsidR="00053FB5" w:rsidRPr="00B748E3" w:rsidRDefault="00053FB5" w:rsidP="00DE4BAF">
            <w:pPr>
              <w:pStyle w:val="TableText"/>
              <w:spacing w:line="276" w:lineRule="auto"/>
              <w:rPr>
                <w:sz w:val="24"/>
              </w:rPr>
            </w:pPr>
            <w:r w:rsidRPr="00B748E3">
              <w:rPr>
                <w:sz w:val="24"/>
              </w:rPr>
              <w:t>Randomised Controlled Trial</w:t>
            </w:r>
          </w:p>
        </w:tc>
      </w:tr>
      <w:tr w:rsidR="00053FB5" w:rsidRPr="00B476EC" w14:paraId="23A98CD3" w14:textId="77777777" w:rsidTr="00EA3BAC">
        <w:tc>
          <w:tcPr>
            <w:tcW w:w="1422" w:type="pct"/>
            <w:tcBorders>
              <w:top w:val="single" w:sz="2" w:space="0" w:color="000000"/>
              <w:bottom w:val="single" w:sz="2" w:space="0" w:color="000000"/>
            </w:tcBorders>
            <w:vAlign w:val="center"/>
          </w:tcPr>
          <w:p w14:paraId="40A42591" w14:textId="77777777" w:rsidR="00053FB5" w:rsidRPr="00B748E3" w:rsidRDefault="00053FB5" w:rsidP="00DE4BAF">
            <w:pPr>
              <w:pStyle w:val="TableText"/>
              <w:spacing w:line="276" w:lineRule="auto"/>
              <w:rPr>
                <w:sz w:val="24"/>
              </w:rPr>
            </w:pPr>
            <w:r w:rsidRPr="00B748E3">
              <w:rPr>
                <w:rFonts w:cs="Arial"/>
                <w:sz w:val="24"/>
              </w:rPr>
              <w:t>RPS</w:t>
            </w:r>
          </w:p>
        </w:tc>
        <w:tc>
          <w:tcPr>
            <w:tcW w:w="3578" w:type="pct"/>
            <w:tcBorders>
              <w:top w:val="single" w:sz="2" w:space="0" w:color="000000"/>
              <w:bottom w:val="single" w:sz="2" w:space="0" w:color="000000"/>
            </w:tcBorders>
            <w:vAlign w:val="center"/>
          </w:tcPr>
          <w:p w14:paraId="7442043D" w14:textId="77777777" w:rsidR="00053FB5" w:rsidRPr="00B748E3" w:rsidRDefault="00053FB5" w:rsidP="00DE4BAF">
            <w:pPr>
              <w:pStyle w:val="TableText"/>
              <w:spacing w:line="276" w:lineRule="auto"/>
              <w:rPr>
                <w:sz w:val="24"/>
              </w:rPr>
            </w:pPr>
            <w:r w:rsidRPr="00B748E3">
              <w:rPr>
                <w:sz w:val="24"/>
              </w:rPr>
              <w:t>Royal Pharmaceutical Society</w:t>
            </w:r>
          </w:p>
        </w:tc>
      </w:tr>
      <w:tr w:rsidR="00053FB5" w:rsidRPr="00B476EC" w14:paraId="6A8B0814" w14:textId="77777777" w:rsidTr="00EA3BAC">
        <w:tc>
          <w:tcPr>
            <w:tcW w:w="1422" w:type="pct"/>
            <w:tcBorders>
              <w:top w:val="single" w:sz="2" w:space="0" w:color="000000"/>
              <w:bottom w:val="single" w:sz="2" w:space="0" w:color="000000"/>
            </w:tcBorders>
            <w:vAlign w:val="center"/>
          </w:tcPr>
          <w:p w14:paraId="3A8C4D73" w14:textId="77777777" w:rsidR="00053FB5" w:rsidRPr="00B748E3" w:rsidRDefault="00053FB5" w:rsidP="00DE4BAF">
            <w:pPr>
              <w:pStyle w:val="TableText"/>
              <w:spacing w:line="276" w:lineRule="auto"/>
              <w:rPr>
                <w:sz w:val="24"/>
              </w:rPr>
            </w:pPr>
            <w:r w:rsidRPr="00B748E3">
              <w:rPr>
                <w:rFonts w:cs="Arial"/>
                <w:sz w:val="24"/>
              </w:rPr>
              <w:t>Sequence</w:t>
            </w:r>
          </w:p>
        </w:tc>
        <w:tc>
          <w:tcPr>
            <w:tcW w:w="3578" w:type="pct"/>
            <w:tcBorders>
              <w:top w:val="single" w:sz="2" w:space="0" w:color="000000"/>
              <w:bottom w:val="single" w:sz="2" w:space="0" w:color="000000"/>
            </w:tcBorders>
            <w:vAlign w:val="center"/>
          </w:tcPr>
          <w:p w14:paraId="3384039A" w14:textId="77777777" w:rsidR="00053FB5" w:rsidRPr="00B748E3" w:rsidRDefault="00053FB5" w:rsidP="00DE4BAF">
            <w:pPr>
              <w:pStyle w:val="NormalWeb"/>
              <w:spacing w:before="120" w:beforeAutospacing="0" w:after="120" w:afterAutospacing="0" w:line="276" w:lineRule="auto"/>
              <w:rPr>
                <w:rFonts w:cs="Arial"/>
              </w:rPr>
            </w:pPr>
            <w:r w:rsidRPr="00B748E3">
              <w:rPr>
                <w:rFonts w:ascii="Arial" w:hAnsi="Arial" w:cs="Arial"/>
              </w:rPr>
              <w:t xml:space="preserve">The order of nucleotide base pairs in a specific length of DNA. </w:t>
            </w:r>
          </w:p>
        </w:tc>
      </w:tr>
      <w:tr w:rsidR="00053FB5" w:rsidRPr="00B476EC" w14:paraId="756A2485" w14:textId="77777777" w:rsidTr="00EA3BAC">
        <w:tc>
          <w:tcPr>
            <w:tcW w:w="1422" w:type="pct"/>
            <w:tcBorders>
              <w:top w:val="single" w:sz="2" w:space="0" w:color="000000"/>
              <w:bottom w:val="single" w:sz="2" w:space="0" w:color="000000"/>
            </w:tcBorders>
            <w:vAlign w:val="center"/>
          </w:tcPr>
          <w:p w14:paraId="72C1DF00" w14:textId="77777777" w:rsidR="00053FB5" w:rsidRPr="00B748E3" w:rsidRDefault="00053FB5" w:rsidP="00DE4BAF">
            <w:pPr>
              <w:pStyle w:val="TableText"/>
              <w:spacing w:line="276" w:lineRule="auto"/>
              <w:rPr>
                <w:rFonts w:cs="Arial"/>
                <w:sz w:val="24"/>
              </w:rPr>
            </w:pPr>
            <w:r w:rsidRPr="00B748E3">
              <w:rPr>
                <w:rFonts w:cs="Arial"/>
                <w:sz w:val="24"/>
              </w:rPr>
              <w:t>Sequencing</w:t>
            </w:r>
          </w:p>
        </w:tc>
        <w:tc>
          <w:tcPr>
            <w:tcW w:w="3578" w:type="pct"/>
            <w:tcBorders>
              <w:top w:val="single" w:sz="2" w:space="0" w:color="000000"/>
              <w:bottom w:val="single" w:sz="2" w:space="0" w:color="000000"/>
            </w:tcBorders>
            <w:vAlign w:val="center"/>
          </w:tcPr>
          <w:p w14:paraId="1294E6E2" w14:textId="77777777" w:rsidR="00053FB5" w:rsidRPr="00B748E3" w:rsidRDefault="00053FB5" w:rsidP="00DE4BAF">
            <w:pPr>
              <w:pStyle w:val="NormalWeb"/>
              <w:spacing w:before="120" w:beforeAutospacing="0" w:after="120" w:afterAutospacing="0" w:line="276" w:lineRule="auto"/>
              <w:rPr>
                <w:rFonts w:ascii="Arial" w:hAnsi="Arial" w:cs="Arial"/>
              </w:rPr>
            </w:pPr>
            <w:r w:rsidRPr="00B748E3">
              <w:rPr>
                <w:rFonts w:ascii="Arial" w:hAnsi="Arial" w:cs="Arial"/>
              </w:rPr>
              <w:t xml:space="preserve">An umbrella term for the various techniques that can be used to determine the exact sequence of a particular length of DNA. </w:t>
            </w:r>
          </w:p>
        </w:tc>
      </w:tr>
      <w:tr w:rsidR="00053FB5" w:rsidRPr="00B476EC" w14:paraId="5A9426DF" w14:textId="77777777" w:rsidTr="00EA3BAC">
        <w:tc>
          <w:tcPr>
            <w:tcW w:w="1422" w:type="pct"/>
            <w:tcBorders>
              <w:top w:val="single" w:sz="2" w:space="0" w:color="000000"/>
              <w:bottom w:val="single" w:sz="2" w:space="0" w:color="000000"/>
            </w:tcBorders>
            <w:vAlign w:val="center"/>
          </w:tcPr>
          <w:p w14:paraId="0407F9E8" w14:textId="77777777" w:rsidR="00053FB5" w:rsidRPr="00B748E3" w:rsidRDefault="00053FB5" w:rsidP="00DE4BAF">
            <w:pPr>
              <w:pStyle w:val="TableText"/>
              <w:spacing w:line="276" w:lineRule="auto"/>
              <w:rPr>
                <w:rFonts w:cs="Arial"/>
                <w:sz w:val="24"/>
              </w:rPr>
            </w:pPr>
            <w:r w:rsidRPr="00B748E3">
              <w:rPr>
                <w:rFonts w:cs="Arial"/>
                <w:sz w:val="24"/>
              </w:rPr>
              <w:t>SJS/TEN</w:t>
            </w:r>
          </w:p>
        </w:tc>
        <w:tc>
          <w:tcPr>
            <w:tcW w:w="3578" w:type="pct"/>
            <w:tcBorders>
              <w:top w:val="single" w:sz="2" w:space="0" w:color="000000"/>
              <w:bottom w:val="single" w:sz="2" w:space="0" w:color="000000"/>
            </w:tcBorders>
            <w:vAlign w:val="center"/>
          </w:tcPr>
          <w:p w14:paraId="410AE8DC" w14:textId="77777777" w:rsidR="00053FB5" w:rsidRPr="00B748E3" w:rsidRDefault="00053FB5" w:rsidP="00DE4BAF">
            <w:pPr>
              <w:pStyle w:val="NormalWeb"/>
              <w:spacing w:before="120" w:after="120" w:line="276" w:lineRule="auto"/>
              <w:rPr>
                <w:rFonts w:ascii="Arial" w:hAnsi="Arial" w:cs="Arial"/>
              </w:rPr>
            </w:pPr>
            <w:r w:rsidRPr="00B748E3">
              <w:rPr>
                <w:rFonts w:ascii="Arial" w:hAnsi="Arial" w:cs="Arial"/>
              </w:rPr>
              <w:t>Steven-Johnson Syndrome / Toxic Epidermal Necrolysis</w:t>
            </w:r>
          </w:p>
        </w:tc>
      </w:tr>
      <w:tr w:rsidR="00053FB5" w:rsidRPr="00B476EC" w14:paraId="7015E7E4" w14:textId="77777777" w:rsidTr="00EA3BAC">
        <w:tc>
          <w:tcPr>
            <w:tcW w:w="1422" w:type="pct"/>
            <w:tcBorders>
              <w:top w:val="single" w:sz="2" w:space="0" w:color="000000"/>
              <w:bottom w:val="single" w:sz="2" w:space="0" w:color="000000"/>
            </w:tcBorders>
            <w:vAlign w:val="center"/>
          </w:tcPr>
          <w:p w14:paraId="00A428E2" w14:textId="77777777" w:rsidR="00053FB5" w:rsidRPr="00B748E3" w:rsidRDefault="00053FB5" w:rsidP="00DE4BAF">
            <w:pPr>
              <w:pStyle w:val="TableText"/>
              <w:spacing w:line="276" w:lineRule="auto"/>
              <w:rPr>
                <w:rFonts w:cs="Arial"/>
                <w:sz w:val="24"/>
              </w:rPr>
            </w:pPr>
            <w:r>
              <w:rPr>
                <w:rFonts w:cs="Arial"/>
                <w:sz w:val="24"/>
              </w:rPr>
              <w:t>Soft stop</w:t>
            </w:r>
          </w:p>
        </w:tc>
        <w:tc>
          <w:tcPr>
            <w:tcW w:w="3578" w:type="pct"/>
            <w:tcBorders>
              <w:top w:val="single" w:sz="2" w:space="0" w:color="000000"/>
              <w:bottom w:val="single" w:sz="2" w:space="0" w:color="000000"/>
            </w:tcBorders>
            <w:vAlign w:val="center"/>
          </w:tcPr>
          <w:p w14:paraId="34C120D9" w14:textId="77777777" w:rsidR="00053FB5" w:rsidRPr="00B748E3" w:rsidRDefault="00053FB5" w:rsidP="00DE4BAF">
            <w:pPr>
              <w:pStyle w:val="NormalWeb"/>
              <w:spacing w:before="120" w:beforeAutospacing="0" w:after="120" w:afterAutospacing="0" w:line="276" w:lineRule="auto"/>
              <w:rPr>
                <w:rFonts w:ascii="Arial" w:hAnsi="Arial" w:cs="Arial"/>
              </w:rPr>
            </w:pPr>
            <w:r>
              <w:rPr>
                <w:rFonts w:ascii="Arial" w:hAnsi="Arial" w:cs="Arial"/>
                <w:color w:val="000000" w:themeColor="text1"/>
              </w:rPr>
              <w:t>An</w:t>
            </w:r>
            <w:r w:rsidRPr="00373E81">
              <w:rPr>
                <w:rFonts w:ascii="Arial" w:hAnsi="Arial" w:cs="Arial"/>
                <w:color w:val="000000" w:themeColor="text1"/>
              </w:rPr>
              <w:t xml:space="preserve"> active alert that allows progression</w:t>
            </w:r>
            <w:r>
              <w:rPr>
                <w:rFonts w:ascii="Arial" w:hAnsi="Arial" w:cs="Arial"/>
                <w:color w:val="000000" w:themeColor="text1"/>
              </w:rPr>
              <w:t xml:space="preserve"> in the workflow</w:t>
            </w:r>
            <w:r w:rsidRPr="00373E81">
              <w:rPr>
                <w:rFonts w:ascii="Arial" w:hAnsi="Arial" w:cs="Arial"/>
                <w:color w:val="000000" w:themeColor="text1"/>
              </w:rPr>
              <w:t xml:space="preserve"> only when a reason for the override is provided.</w:t>
            </w:r>
          </w:p>
        </w:tc>
      </w:tr>
      <w:tr w:rsidR="00053FB5" w:rsidRPr="00B476EC" w14:paraId="61F04578" w14:textId="77777777" w:rsidTr="00EA3BAC">
        <w:tc>
          <w:tcPr>
            <w:tcW w:w="1422" w:type="pct"/>
            <w:tcBorders>
              <w:top w:val="single" w:sz="2" w:space="0" w:color="000000"/>
              <w:bottom w:val="single" w:sz="2" w:space="0" w:color="000000"/>
            </w:tcBorders>
            <w:vAlign w:val="center"/>
          </w:tcPr>
          <w:p w14:paraId="136E10FA" w14:textId="77777777" w:rsidR="00053FB5" w:rsidRPr="00B748E3" w:rsidRDefault="00053FB5" w:rsidP="00DE4BAF">
            <w:pPr>
              <w:pStyle w:val="TableText"/>
              <w:spacing w:line="276" w:lineRule="auto"/>
              <w:rPr>
                <w:i/>
                <w:iCs/>
                <w:sz w:val="24"/>
              </w:rPr>
            </w:pPr>
            <w:r w:rsidRPr="00B748E3">
              <w:rPr>
                <w:i/>
                <w:iCs/>
                <w:sz w:val="24"/>
              </w:rPr>
              <w:t>TPMT</w:t>
            </w:r>
          </w:p>
        </w:tc>
        <w:tc>
          <w:tcPr>
            <w:tcW w:w="3578" w:type="pct"/>
            <w:tcBorders>
              <w:top w:val="single" w:sz="2" w:space="0" w:color="000000"/>
              <w:bottom w:val="single" w:sz="2" w:space="0" w:color="000000"/>
            </w:tcBorders>
            <w:vAlign w:val="center"/>
          </w:tcPr>
          <w:p w14:paraId="008DFB59" w14:textId="77777777" w:rsidR="00053FB5" w:rsidRPr="00B748E3" w:rsidRDefault="00053FB5" w:rsidP="00DE4BAF">
            <w:pPr>
              <w:pStyle w:val="TableText"/>
              <w:spacing w:line="276" w:lineRule="auto"/>
              <w:rPr>
                <w:sz w:val="24"/>
              </w:rPr>
            </w:pPr>
            <w:r w:rsidRPr="00B748E3">
              <w:rPr>
                <w:sz w:val="24"/>
              </w:rPr>
              <w:t>Thiopurine-S-Methyltransferase</w:t>
            </w:r>
          </w:p>
        </w:tc>
      </w:tr>
      <w:tr w:rsidR="00053FB5" w:rsidRPr="00B476EC" w14:paraId="21F5CE20" w14:textId="77777777" w:rsidTr="00EA3BAC">
        <w:tc>
          <w:tcPr>
            <w:tcW w:w="1422" w:type="pct"/>
            <w:tcBorders>
              <w:top w:val="single" w:sz="2" w:space="0" w:color="000000"/>
              <w:bottom w:val="single" w:sz="2" w:space="0" w:color="000000"/>
            </w:tcBorders>
            <w:vAlign w:val="center"/>
          </w:tcPr>
          <w:p w14:paraId="59A5F904" w14:textId="77777777" w:rsidR="00053FB5" w:rsidRPr="00B748E3" w:rsidRDefault="00053FB5" w:rsidP="00DE4BAF">
            <w:pPr>
              <w:pStyle w:val="TableText"/>
              <w:spacing w:line="276" w:lineRule="auto"/>
              <w:rPr>
                <w:sz w:val="24"/>
              </w:rPr>
            </w:pPr>
            <w:r w:rsidRPr="00B748E3">
              <w:rPr>
                <w:sz w:val="24"/>
              </w:rPr>
              <w:lastRenderedPageBreak/>
              <w:t>UAE</w:t>
            </w:r>
          </w:p>
        </w:tc>
        <w:tc>
          <w:tcPr>
            <w:tcW w:w="3578" w:type="pct"/>
            <w:tcBorders>
              <w:top w:val="single" w:sz="2" w:space="0" w:color="000000"/>
              <w:bottom w:val="single" w:sz="2" w:space="0" w:color="000000"/>
            </w:tcBorders>
            <w:vAlign w:val="center"/>
          </w:tcPr>
          <w:p w14:paraId="4F4EED63" w14:textId="77777777" w:rsidR="00053FB5" w:rsidRPr="00B748E3" w:rsidRDefault="00053FB5" w:rsidP="00DE4BAF">
            <w:pPr>
              <w:pStyle w:val="TableText"/>
              <w:spacing w:line="276" w:lineRule="auto"/>
              <w:rPr>
                <w:sz w:val="24"/>
              </w:rPr>
            </w:pPr>
            <w:r w:rsidRPr="00B748E3">
              <w:rPr>
                <w:sz w:val="24"/>
              </w:rPr>
              <w:t>United Arab Emirates</w:t>
            </w:r>
          </w:p>
        </w:tc>
      </w:tr>
      <w:tr w:rsidR="00053FB5" w:rsidRPr="00B476EC" w14:paraId="18CF5606" w14:textId="77777777" w:rsidTr="00EA3BAC">
        <w:tc>
          <w:tcPr>
            <w:tcW w:w="1422" w:type="pct"/>
            <w:tcBorders>
              <w:top w:val="single" w:sz="2" w:space="0" w:color="000000"/>
              <w:bottom w:val="single" w:sz="2" w:space="0" w:color="000000"/>
            </w:tcBorders>
            <w:vAlign w:val="center"/>
          </w:tcPr>
          <w:p w14:paraId="6DF16F53" w14:textId="77777777" w:rsidR="00053FB5" w:rsidRPr="00B748E3" w:rsidRDefault="00053FB5" w:rsidP="00DE4BAF">
            <w:pPr>
              <w:pStyle w:val="TableText"/>
              <w:spacing w:line="276" w:lineRule="auto"/>
              <w:rPr>
                <w:sz w:val="24"/>
              </w:rPr>
            </w:pPr>
            <w:r w:rsidRPr="00B748E3">
              <w:rPr>
                <w:sz w:val="24"/>
              </w:rPr>
              <w:t>UCLH</w:t>
            </w:r>
          </w:p>
        </w:tc>
        <w:tc>
          <w:tcPr>
            <w:tcW w:w="3578" w:type="pct"/>
            <w:tcBorders>
              <w:top w:val="single" w:sz="2" w:space="0" w:color="000000"/>
              <w:bottom w:val="single" w:sz="2" w:space="0" w:color="000000"/>
            </w:tcBorders>
            <w:vAlign w:val="center"/>
          </w:tcPr>
          <w:p w14:paraId="6248AADA" w14:textId="77777777" w:rsidR="00053FB5" w:rsidRPr="00B748E3" w:rsidRDefault="00053FB5" w:rsidP="00DE4BAF">
            <w:pPr>
              <w:pStyle w:val="TableText"/>
              <w:spacing w:line="276" w:lineRule="auto"/>
              <w:rPr>
                <w:sz w:val="24"/>
              </w:rPr>
            </w:pPr>
            <w:r w:rsidRPr="00B748E3">
              <w:rPr>
                <w:sz w:val="24"/>
              </w:rPr>
              <w:t>University College London Hospital</w:t>
            </w:r>
          </w:p>
        </w:tc>
      </w:tr>
      <w:tr w:rsidR="00053FB5" w:rsidRPr="00B476EC" w14:paraId="4DC24F54" w14:textId="77777777" w:rsidTr="00EA3BAC">
        <w:tc>
          <w:tcPr>
            <w:tcW w:w="1422" w:type="pct"/>
            <w:tcBorders>
              <w:top w:val="single" w:sz="2" w:space="0" w:color="000000"/>
              <w:bottom w:val="single" w:sz="2" w:space="0" w:color="000000"/>
            </w:tcBorders>
            <w:vAlign w:val="center"/>
          </w:tcPr>
          <w:p w14:paraId="6523DC13" w14:textId="77777777" w:rsidR="00053FB5" w:rsidRPr="00B748E3" w:rsidRDefault="00053FB5" w:rsidP="00DE4BAF">
            <w:pPr>
              <w:pStyle w:val="TableText"/>
              <w:spacing w:line="276" w:lineRule="auto"/>
              <w:rPr>
                <w:sz w:val="24"/>
              </w:rPr>
            </w:pPr>
            <w:r w:rsidRPr="00B748E3">
              <w:rPr>
                <w:sz w:val="24"/>
              </w:rPr>
              <w:t>VCF</w:t>
            </w:r>
          </w:p>
        </w:tc>
        <w:tc>
          <w:tcPr>
            <w:tcW w:w="3578" w:type="pct"/>
            <w:tcBorders>
              <w:top w:val="single" w:sz="2" w:space="0" w:color="000000"/>
              <w:bottom w:val="single" w:sz="2" w:space="0" w:color="000000"/>
            </w:tcBorders>
            <w:vAlign w:val="center"/>
          </w:tcPr>
          <w:p w14:paraId="2BBEB213" w14:textId="77777777" w:rsidR="00053FB5" w:rsidRPr="00B748E3" w:rsidRDefault="00053FB5" w:rsidP="00DE4BAF">
            <w:pPr>
              <w:pStyle w:val="TableText"/>
              <w:spacing w:line="276" w:lineRule="auto"/>
              <w:rPr>
                <w:sz w:val="24"/>
              </w:rPr>
            </w:pPr>
            <w:r w:rsidRPr="00B748E3">
              <w:rPr>
                <w:sz w:val="24"/>
              </w:rPr>
              <w:t>Variant Call Format – a file for storing gene sequence variations</w:t>
            </w:r>
          </w:p>
        </w:tc>
      </w:tr>
    </w:tbl>
    <w:p w14:paraId="3B5F1CA4" w14:textId="77777777" w:rsidR="00C93629" w:rsidRDefault="00C93629" w:rsidP="00DE4BAF">
      <w:pPr>
        <w:spacing w:line="276" w:lineRule="auto"/>
        <w:rPr>
          <w:rFonts w:ascii="Arial" w:hAnsi="Arial" w:cs="Arial"/>
          <w:color w:val="1078B9"/>
          <w:sz w:val="22"/>
          <w:szCs w:val="22"/>
        </w:rPr>
      </w:pPr>
    </w:p>
    <w:p w14:paraId="78E723FE" w14:textId="77777777" w:rsidR="00053FB5" w:rsidRDefault="00053FB5" w:rsidP="00DE4BAF">
      <w:pPr>
        <w:spacing w:line="276" w:lineRule="auto"/>
      </w:pPr>
      <w:r>
        <w:rPr>
          <w:b/>
          <w:bCs/>
        </w:rPr>
        <w:br w:type="page"/>
      </w:r>
    </w:p>
    <w:sdt>
      <w:sdtPr>
        <w:rPr>
          <w:rFonts w:ascii="Times New Roman" w:eastAsia="Times New Roman" w:hAnsi="Times New Roman" w:cs="Times New Roman"/>
          <w:b w:val="0"/>
          <w:bCs w:val="0"/>
          <w:color w:val="auto"/>
          <w:sz w:val="24"/>
          <w:szCs w:val="24"/>
          <w:lang w:val="en-GB" w:eastAsia="en-GB"/>
        </w:rPr>
        <w:id w:val="-1257362323"/>
        <w:docPartObj>
          <w:docPartGallery w:val="Table of Contents"/>
          <w:docPartUnique/>
        </w:docPartObj>
      </w:sdtPr>
      <w:sdtEndPr>
        <w:rPr>
          <w:noProof/>
        </w:rPr>
      </w:sdtEndPr>
      <w:sdtContent>
        <w:p w14:paraId="0D61361E" w14:textId="77777777" w:rsidR="001435C5" w:rsidRPr="00276C36" w:rsidRDefault="001435C5" w:rsidP="001435C5">
          <w:pPr>
            <w:pStyle w:val="TOCHeading"/>
            <w:rPr>
              <w:rFonts w:ascii="Arial" w:hAnsi="Arial" w:cs="Arial"/>
              <w:color w:val="0070C0"/>
              <w:sz w:val="36"/>
              <w:szCs w:val="36"/>
            </w:rPr>
          </w:pPr>
          <w:r w:rsidRPr="00276C36">
            <w:rPr>
              <w:rFonts w:ascii="Arial" w:hAnsi="Arial" w:cs="Arial"/>
              <w:color w:val="0070C0"/>
              <w:sz w:val="36"/>
              <w:szCs w:val="36"/>
            </w:rPr>
            <w:t>Contents</w:t>
          </w:r>
        </w:p>
        <w:p w14:paraId="482E96C6" w14:textId="5F465D7F" w:rsidR="001435C5" w:rsidRDefault="001435C5">
          <w:pPr>
            <w:pStyle w:val="TOC1"/>
            <w:rPr>
              <w:rFonts w:asciiTheme="minorHAnsi" w:eastAsiaTheme="minorEastAsia" w:hAnsiTheme="minorHAnsi" w:cstheme="minorBidi"/>
              <w:b w:val="0"/>
              <w:bCs w:val="0"/>
              <w:color w:val="auto"/>
              <w:sz w:val="24"/>
              <w:szCs w:val="24"/>
            </w:rPr>
          </w:pPr>
          <w:r>
            <w:rPr>
              <w:rFonts w:cstheme="minorHAnsi"/>
              <w:b w:val="0"/>
              <w:bCs w:val="0"/>
              <w:caps/>
              <w:sz w:val="22"/>
              <w:szCs w:val="22"/>
            </w:rPr>
            <w:fldChar w:fldCharType="begin"/>
          </w:r>
          <w:r>
            <w:rPr>
              <w:rFonts w:cstheme="minorHAnsi"/>
              <w:b w:val="0"/>
              <w:bCs w:val="0"/>
              <w:caps/>
              <w:sz w:val="22"/>
              <w:szCs w:val="22"/>
            </w:rPr>
            <w:instrText xml:space="preserve"> TOC \o "1-3" \h \z \u </w:instrText>
          </w:r>
          <w:r>
            <w:rPr>
              <w:rFonts w:cstheme="minorHAnsi"/>
              <w:b w:val="0"/>
              <w:bCs w:val="0"/>
              <w:caps/>
              <w:sz w:val="22"/>
              <w:szCs w:val="22"/>
            </w:rPr>
            <w:fldChar w:fldCharType="separate"/>
          </w:r>
          <w:hyperlink w:anchor="_Toc32874803" w:history="1">
            <w:r w:rsidRPr="008E1AD3">
              <w:rPr>
                <w:rStyle w:val="Hyperlink"/>
              </w:rPr>
              <w:t>1.</w:t>
            </w:r>
            <w:r>
              <w:rPr>
                <w:rFonts w:asciiTheme="minorHAnsi" w:eastAsiaTheme="minorEastAsia" w:hAnsiTheme="minorHAnsi" w:cstheme="minorBidi"/>
                <w:b w:val="0"/>
                <w:bCs w:val="0"/>
                <w:color w:val="auto"/>
                <w:sz w:val="24"/>
                <w:szCs w:val="24"/>
              </w:rPr>
              <w:tab/>
            </w:r>
            <w:r w:rsidRPr="008E1AD3">
              <w:rPr>
                <w:rStyle w:val="Hyperlink"/>
              </w:rPr>
              <w:t>Introduction</w:t>
            </w:r>
            <w:r>
              <w:rPr>
                <w:webHidden/>
              </w:rPr>
              <w:tab/>
            </w:r>
            <w:r>
              <w:rPr>
                <w:webHidden/>
              </w:rPr>
              <w:fldChar w:fldCharType="begin"/>
            </w:r>
            <w:r>
              <w:rPr>
                <w:webHidden/>
              </w:rPr>
              <w:instrText xml:space="preserve"> PAGEREF _Toc32874803 \h </w:instrText>
            </w:r>
            <w:r>
              <w:rPr>
                <w:webHidden/>
              </w:rPr>
            </w:r>
            <w:r>
              <w:rPr>
                <w:webHidden/>
              </w:rPr>
              <w:fldChar w:fldCharType="separate"/>
            </w:r>
            <w:r>
              <w:rPr>
                <w:webHidden/>
              </w:rPr>
              <w:t>13</w:t>
            </w:r>
            <w:r>
              <w:rPr>
                <w:webHidden/>
              </w:rPr>
              <w:fldChar w:fldCharType="end"/>
            </w:r>
          </w:hyperlink>
        </w:p>
        <w:p w14:paraId="3E5B12AE" w14:textId="23B24EAD" w:rsidR="001435C5" w:rsidRDefault="00C77D0E">
          <w:pPr>
            <w:pStyle w:val="TOC1"/>
            <w:rPr>
              <w:rFonts w:asciiTheme="minorHAnsi" w:eastAsiaTheme="minorEastAsia" w:hAnsiTheme="minorHAnsi" w:cstheme="minorBidi"/>
              <w:b w:val="0"/>
              <w:bCs w:val="0"/>
              <w:color w:val="auto"/>
              <w:sz w:val="24"/>
              <w:szCs w:val="24"/>
            </w:rPr>
          </w:pPr>
          <w:hyperlink w:anchor="_Toc32874804" w:history="1">
            <w:r w:rsidR="001435C5" w:rsidRPr="008E1AD3">
              <w:rPr>
                <w:rStyle w:val="Hyperlink"/>
              </w:rPr>
              <w:t>2.</w:t>
            </w:r>
            <w:r w:rsidR="001435C5">
              <w:rPr>
                <w:rFonts w:asciiTheme="minorHAnsi" w:eastAsiaTheme="minorEastAsia" w:hAnsiTheme="minorHAnsi" w:cstheme="minorBidi"/>
                <w:b w:val="0"/>
                <w:bCs w:val="0"/>
                <w:color w:val="auto"/>
                <w:sz w:val="24"/>
                <w:szCs w:val="24"/>
              </w:rPr>
              <w:tab/>
            </w:r>
            <w:r w:rsidR="001435C5" w:rsidRPr="008E1AD3">
              <w:rPr>
                <w:rStyle w:val="Hyperlink"/>
              </w:rPr>
              <w:t>Methodology</w:t>
            </w:r>
            <w:r w:rsidR="001435C5">
              <w:rPr>
                <w:webHidden/>
              </w:rPr>
              <w:tab/>
            </w:r>
            <w:r w:rsidR="001435C5">
              <w:rPr>
                <w:webHidden/>
              </w:rPr>
              <w:fldChar w:fldCharType="begin"/>
            </w:r>
            <w:r w:rsidR="001435C5">
              <w:rPr>
                <w:webHidden/>
              </w:rPr>
              <w:instrText xml:space="preserve"> PAGEREF _Toc32874804 \h </w:instrText>
            </w:r>
            <w:r w:rsidR="001435C5">
              <w:rPr>
                <w:webHidden/>
              </w:rPr>
            </w:r>
            <w:r w:rsidR="001435C5">
              <w:rPr>
                <w:webHidden/>
              </w:rPr>
              <w:fldChar w:fldCharType="separate"/>
            </w:r>
            <w:r w:rsidR="001435C5">
              <w:rPr>
                <w:webHidden/>
              </w:rPr>
              <w:t>13</w:t>
            </w:r>
            <w:r w:rsidR="001435C5">
              <w:rPr>
                <w:webHidden/>
              </w:rPr>
              <w:fldChar w:fldCharType="end"/>
            </w:r>
          </w:hyperlink>
        </w:p>
        <w:p w14:paraId="46E87481" w14:textId="3F97DE28" w:rsidR="001435C5" w:rsidRDefault="00C77D0E">
          <w:pPr>
            <w:pStyle w:val="TOC2"/>
            <w:tabs>
              <w:tab w:val="right" w:pos="9010"/>
            </w:tabs>
            <w:rPr>
              <w:rFonts w:asciiTheme="minorHAnsi" w:eastAsiaTheme="minorEastAsia" w:hAnsiTheme="minorHAnsi" w:cstheme="minorBidi"/>
              <w:iCs w:val="0"/>
              <w:noProof/>
              <w:color w:val="auto"/>
              <w:szCs w:val="24"/>
            </w:rPr>
          </w:pPr>
          <w:hyperlink w:anchor="_Toc32874805" w:history="1">
            <w:r w:rsidR="001435C5" w:rsidRPr="008E1AD3">
              <w:rPr>
                <w:rStyle w:val="Hyperlink"/>
                <w:rFonts w:cs="Arial"/>
                <w:noProof/>
              </w:rPr>
              <w:t>2.1 Project Initiation</w:t>
            </w:r>
            <w:r w:rsidR="001435C5">
              <w:rPr>
                <w:noProof/>
                <w:webHidden/>
              </w:rPr>
              <w:tab/>
            </w:r>
            <w:r w:rsidR="001435C5">
              <w:rPr>
                <w:noProof/>
                <w:webHidden/>
              </w:rPr>
              <w:fldChar w:fldCharType="begin"/>
            </w:r>
            <w:r w:rsidR="001435C5">
              <w:rPr>
                <w:noProof/>
                <w:webHidden/>
              </w:rPr>
              <w:instrText xml:space="preserve"> PAGEREF _Toc32874805 \h </w:instrText>
            </w:r>
            <w:r w:rsidR="001435C5">
              <w:rPr>
                <w:noProof/>
                <w:webHidden/>
              </w:rPr>
            </w:r>
            <w:r w:rsidR="001435C5">
              <w:rPr>
                <w:noProof/>
                <w:webHidden/>
              </w:rPr>
              <w:fldChar w:fldCharType="separate"/>
            </w:r>
            <w:r w:rsidR="001435C5">
              <w:rPr>
                <w:noProof/>
                <w:webHidden/>
              </w:rPr>
              <w:t>13</w:t>
            </w:r>
            <w:r w:rsidR="001435C5">
              <w:rPr>
                <w:noProof/>
                <w:webHidden/>
              </w:rPr>
              <w:fldChar w:fldCharType="end"/>
            </w:r>
          </w:hyperlink>
        </w:p>
        <w:p w14:paraId="5ECA43CA" w14:textId="043104CD" w:rsidR="001435C5" w:rsidRDefault="00C77D0E">
          <w:pPr>
            <w:pStyle w:val="TOC3"/>
            <w:tabs>
              <w:tab w:val="left" w:pos="1200"/>
              <w:tab w:val="right" w:pos="9010"/>
            </w:tabs>
            <w:rPr>
              <w:rFonts w:asciiTheme="minorHAnsi" w:eastAsiaTheme="minorEastAsia" w:hAnsiTheme="minorHAnsi" w:cstheme="minorBidi"/>
              <w:noProof/>
              <w:szCs w:val="24"/>
            </w:rPr>
          </w:pPr>
          <w:hyperlink w:anchor="_Toc32874806" w:history="1">
            <w:r w:rsidR="001435C5" w:rsidRPr="008E1AD3">
              <w:rPr>
                <w:rStyle w:val="Hyperlink"/>
                <w:rFonts w:cs="Arial"/>
                <w:noProof/>
              </w:rPr>
              <w:t>2.2</w:t>
            </w:r>
            <w:r w:rsidR="001435C5">
              <w:rPr>
                <w:rFonts w:asciiTheme="minorHAnsi" w:eastAsiaTheme="minorEastAsia" w:hAnsiTheme="minorHAnsi" w:cstheme="minorBidi"/>
                <w:noProof/>
                <w:szCs w:val="24"/>
              </w:rPr>
              <w:tab/>
            </w:r>
            <w:r w:rsidR="001435C5" w:rsidRPr="008E1AD3">
              <w:rPr>
                <w:rStyle w:val="Hyperlink"/>
                <w:rFonts w:cs="Arial"/>
                <w:noProof/>
              </w:rPr>
              <w:t>Project approach</w:t>
            </w:r>
            <w:r w:rsidR="001435C5">
              <w:rPr>
                <w:noProof/>
                <w:webHidden/>
              </w:rPr>
              <w:tab/>
            </w:r>
            <w:r w:rsidR="001435C5">
              <w:rPr>
                <w:noProof/>
                <w:webHidden/>
              </w:rPr>
              <w:fldChar w:fldCharType="begin"/>
            </w:r>
            <w:r w:rsidR="001435C5">
              <w:rPr>
                <w:noProof/>
                <w:webHidden/>
              </w:rPr>
              <w:instrText xml:space="preserve"> PAGEREF _Toc32874806 \h </w:instrText>
            </w:r>
            <w:r w:rsidR="001435C5">
              <w:rPr>
                <w:noProof/>
                <w:webHidden/>
              </w:rPr>
            </w:r>
            <w:r w:rsidR="001435C5">
              <w:rPr>
                <w:noProof/>
                <w:webHidden/>
              </w:rPr>
              <w:fldChar w:fldCharType="separate"/>
            </w:r>
            <w:r w:rsidR="001435C5">
              <w:rPr>
                <w:noProof/>
                <w:webHidden/>
              </w:rPr>
              <w:t>13</w:t>
            </w:r>
            <w:r w:rsidR="001435C5">
              <w:rPr>
                <w:noProof/>
                <w:webHidden/>
              </w:rPr>
              <w:fldChar w:fldCharType="end"/>
            </w:r>
          </w:hyperlink>
        </w:p>
        <w:p w14:paraId="10978ECD" w14:textId="6D2DD3E7" w:rsidR="001435C5" w:rsidRDefault="00C77D0E">
          <w:pPr>
            <w:pStyle w:val="TOC2"/>
            <w:tabs>
              <w:tab w:val="left" w:pos="960"/>
              <w:tab w:val="right" w:pos="9010"/>
            </w:tabs>
            <w:rPr>
              <w:rFonts w:asciiTheme="minorHAnsi" w:eastAsiaTheme="minorEastAsia" w:hAnsiTheme="minorHAnsi" w:cstheme="minorBidi"/>
              <w:iCs w:val="0"/>
              <w:noProof/>
              <w:color w:val="auto"/>
              <w:szCs w:val="24"/>
            </w:rPr>
          </w:pPr>
          <w:hyperlink w:anchor="_Toc32874807" w:history="1">
            <w:r w:rsidR="001435C5" w:rsidRPr="008E1AD3">
              <w:rPr>
                <w:rStyle w:val="Hyperlink"/>
                <w:rFonts w:cs="Arial"/>
                <w:noProof/>
              </w:rPr>
              <w:t>1.1.</w:t>
            </w:r>
            <w:r w:rsidR="001435C5">
              <w:rPr>
                <w:rFonts w:asciiTheme="minorHAnsi" w:eastAsiaTheme="minorEastAsia" w:hAnsiTheme="minorHAnsi" w:cstheme="minorBidi"/>
                <w:iCs w:val="0"/>
                <w:noProof/>
                <w:color w:val="auto"/>
                <w:szCs w:val="24"/>
              </w:rPr>
              <w:tab/>
            </w:r>
            <w:r w:rsidR="001435C5" w:rsidRPr="008E1AD3">
              <w:rPr>
                <w:rStyle w:val="Hyperlink"/>
                <w:rFonts w:cs="Arial"/>
                <w:noProof/>
              </w:rPr>
              <w:t>Phase one methods – Defining project scope</w:t>
            </w:r>
            <w:r w:rsidR="001435C5">
              <w:rPr>
                <w:noProof/>
                <w:webHidden/>
              </w:rPr>
              <w:tab/>
            </w:r>
            <w:r w:rsidR="001435C5">
              <w:rPr>
                <w:noProof/>
                <w:webHidden/>
              </w:rPr>
              <w:fldChar w:fldCharType="begin"/>
            </w:r>
            <w:r w:rsidR="001435C5">
              <w:rPr>
                <w:noProof/>
                <w:webHidden/>
              </w:rPr>
              <w:instrText xml:space="preserve"> PAGEREF _Toc32874807 \h </w:instrText>
            </w:r>
            <w:r w:rsidR="001435C5">
              <w:rPr>
                <w:noProof/>
                <w:webHidden/>
              </w:rPr>
            </w:r>
            <w:r w:rsidR="001435C5">
              <w:rPr>
                <w:noProof/>
                <w:webHidden/>
              </w:rPr>
              <w:fldChar w:fldCharType="separate"/>
            </w:r>
            <w:r w:rsidR="001435C5">
              <w:rPr>
                <w:noProof/>
                <w:webHidden/>
              </w:rPr>
              <w:t>14</w:t>
            </w:r>
            <w:r w:rsidR="001435C5">
              <w:rPr>
                <w:noProof/>
                <w:webHidden/>
              </w:rPr>
              <w:fldChar w:fldCharType="end"/>
            </w:r>
          </w:hyperlink>
        </w:p>
        <w:p w14:paraId="214E0FF6" w14:textId="470B654F" w:rsidR="001435C5" w:rsidRDefault="00C77D0E">
          <w:pPr>
            <w:pStyle w:val="TOC3"/>
            <w:tabs>
              <w:tab w:val="left" w:pos="1440"/>
              <w:tab w:val="right" w:pos="9010"/>
            </w:tabs>
            <w:rPr>
              <w:rFonts w:asciiTheme="minorHAnsi" w:eastAsiaTheme="minorEastAsia" w:hAnsiTheme="minorHAnsi" w:cstheme="minorBidi"/>
              <w:noProof/>
              <w:szCs w:val="24"/>
            </w:rPr>
          </w:pPr>
          <w:hyperlink w:anchor="_Toc32874808" w:history="1">
            <w:r w:rsidR="001435C5" w:rsidRPr="008E1AD3">
              <w:rPr>
                <w:rStyle w:val="Hyperlink"/>
                <w:rFonts w:cs="Arial"/>
                <w:noProof/>
              </w:rPr>
              <w:t>1.1.1.</w:t>
            </w:r>
            <w:r w:rsidR="001435C5">
              <w:rPr>
                <w:rFonts w:asciiTheme="minorHAnsi" w:eastAsiaTheme="minorEastAsia" w:hAnsiTheme="minorHAnsi" w:cstheme="minorBidi"/>
                <w:noProof/>
                <w:szCs w:val="24"/>
              </w:rPr>
              <w:tab/>
            </w:r>
            <w:r w:rsidR="001435C5" w:rsidRPr="008E1AD3">
              <w:rPr>
                <w:rStyle w:val="Hyperlink"/>
                <w:rFonts w:cs="Arial"/>
                <w:noProof/>
              </w:rPr>
              <w:t>Evidence review</w:t>
            </w:r>
            <w:r w:rsidR="001435C5">
              <w:rPr>
                <w:noProof/>
                <w:webHidden/>
              </w:rPr>
              <w:tab/>
            </w:r>
            <w:r w:rsidR="001435C5">
              <w:rPr>
                <w:noProof/>
                <w:webHidden/>
              </w:rPr>
              <w:fldChar w:fldCharType="begin"/>
            </w:r>
            <w:r w:rsidR="001435C5">
              <w:rPr>
                <w:noProof/>
                <w:webHidden/>
              </w:rPr>
              <w:instrText xml:space="preserve"> PAGEREF _Toc32874808 \h </w:instrText>
            </w:r>
            <w:r w:rsidR="001435C5">
              <w:rPr>
                <w:noProof/>
                <w:webHidden/>
              </w:rPr>
            </w:r>
            <w:r w:rsidR="001435C5">
              <w:rPr>
                <w:noProof/>
                <w:webHidden/>
              </w:rPr>
              <w:fldChar w:fldCharType="separate"/>
            </w:r>
            <w:r w:rsidR="001435C5">
              <w:rPr>
                <w:noProof/>
                <w:webHidden/>
              </w:rPr>
              <w:t>14</w:t>
            </w:r>
            <w:r w:rsidR="001435C5">
              <w:rPr>
                <w:noProof/>
                <w:webHidden/>
              </w:rPr>
              <w:fldChar w:fldCharType="end"/>
            </w:r>
          </w:hyperlink>
        </w:p>
        <w:p w14:paraId="4AC720C4" w14:textId="296B8312" w:rsidR="001435C5" w:rsidRDefault="00C77D0E">
          <w:pPr>
            <w:pStyle w:val="TOC3"/>
            <w:tabs>
              <w:tab w:val="left" w:pos="1440"/>
              <w:tab w:val="right" w:pos="9010"/>
            </w:tabs>
            <w:rPr>
              <w:rFonts w:asciiTheme="minorHAnsi" w:eastAsiaTheme="minorEastAsia" w:hAnsiTheme="minorHAnsi" w:cstheme="minorBidi"/>
              <w:noProof/>
              <w:szCs w:val="24"/>
            </w:rPr>
          </w:pPr>
          <w:hyperlink w:anchor="_Toc32874809" w:history="1">
            <w:r w:rsidR="001435C5" w:rsidRPr="008E1AD3">
              <w:rPr>
                <w:rStyle w:val="Hyperlink"/>
                <w:rFonts w:cs="Arial"/>
                <w:noProof/>
              </w:rPr>
              <w:t>1.1.2.</w:t>
            </w:r>
            <w:r w:rsidR="001435C5">
              <w:rPr>
                <w:rFonts w:asciiTheme="minorHAnsi" w:eastAsiaTheme="minorEastAsia" w:hAnsiTheme="minorHAnsi" w:cstheme="minorBidi"/>
                <w:noProof/>
                <w:szCs w:val="24"/>
              </w:rPr>
              <w:tab/>
            </w:r>
            <w:r w:rsidR="001435C5" w:rsidRPr="008E1AD3">
              <w:rPr>
                <w:rStyle w:val="Hyperlink"/>
                <w:rFonts w:cs="Arial"/>
                <w:noProof/>
              </w:rPr>
              <w:t>Focus group consultation one</w:t>
            </w:r>
            <w:r w:rsidR="001435C5">
              <w:rPr>
                <w:noProof/>
                <w:webHidden/>
              </w:rPr>
              <w:tab/>
            </w:r>
            <w:r w:rsidR="001435C5">
              <w:rPr>
                <w:noProof/>
                <w:webHidden/>
              </w:rPr>
              <w:fldChar w:fldCharType="begin"/>
            </w:r>
            <w:r w:rsidR="001435C5">
              <w:rPr>
                <w:noProof/>
                <w:webHidden/>
              </w:rPr>
              <w:instrText xml:space="preserve"> PAGEREF _Toc32874809 \h </w:instrText>
            </w:r>
            <w:r w:rsidR="001435C5">
              <w:rPr>
                <w:noProof/>
                <w:webHidden/>
              </w:rPr>
            </w:r>
            <w:r w:rsidR="001435C5">
              <w:rPr>
                <w:noProof/>
                <w:webHidden/>
              </w:rPr>
              <w:fldChar w:fldCharType="separate"/>
            </w:r>
            <w:r w:rsidR="001435C5">
              <w:rPr>
                <w:noProof/>
                <w:webHidden/>
              </w:rPr>
              <w:t>15</w:t>
            </w:r>
            <w:r w:rsidR="001435C5">
              <w:rPr>
                <w:noProof/>
                <w:webHidden/>
              </w:rPr>
              <w:fldChar w:fldCharType="end"/>
            </w:r>
          </w:hyperlink>
        </w:p>
        <w:p w14:paraId="5440D538" w14:textId="334D53D0" w:rsidR="001435C5" w:rsidRDefault="00C77D0E">
          <w:pPr>
            <w:pStyle w:val="TOC3"/>
            <w:tabs>
              <w:tab w:val="left" w:pos="1440"/>
              <w:tab w:val="right" w:pos="9010"/>
            </w:tabs>
            <w:rPr>
              <w:rFonts w:asciiTheme="minorHAnsi" w:eastAsiaTheme="minorEastAsia" w:hAnsiTheme="minorHAnsi" w:cstheme="minorBidi"/>
              <w:noProof/>
              <w:szCs w:val="24"/>
            </w:rPr>
          </w:pPr>
          <w:hyperlink w:anchor="_Toc32874810" w:history="1">
            <w:r w:rsidR="001435C5" w:rsidRPr="008E1AD3">
              <w:rPr>
                <w:rStyle w:val="Hyperlink"/>
                <w:rFonts w:cs="Arial"/>
                <w:noProof/>
              </w:rPr>
              <w:t>1.1.3.</w:t>
            </w:r>
            <w:r w:rsidR="001435C5">
              <w:rPr>
                <w:rFonts w:asciiTheme="minorHAnsi" w:eastAsiaTheme="minorEastAsia" w:hAnsiTheme="minorHAnsi" w:cstheme="minorBidi"/>
                <w:noProof/>
                <w:szCs w:val="24"/>
              </w:rPr>
              <w:tab/>
            </w:r>
            <w:r w:rsidR="001435C5" w:rsidRPr="008E1AD3">
              <w:rPr>
                <w:rStyle w:val="Hyperlink"/>
                <w:rFonts w:cs="Arial"/>
                <w:noProof/>
              </w:rPr>
              <w:t>Consultation calls</w:t>
            </w:r>
            <w:r w:rsidR="001435C5">
              <w:rPr>
                <w:noProof/>
                <w:webHidden/>
              </w:rPr>
              <w:tab/>
            </w:r>
            <w:r w:rsidR="001435C5">
              <w:rPr>
                <w:noProof/>
                <w:webHidden/>
              </w:rPr>
              <w:fldChar w:fldCharType="begin"/>
            </w:r>
            <w:r w:rsidR="001435C5">
              <w:rPr>
                <w:noProof/>
                <w:webHidden/>
              </w:rPr>
              <w:instrText xml:space="preserve"> PAGEREF _Toc32874810 \h </w:instrText>
            </w:r>
            <w:r w:rsidR="001435C5">
              <w:rPr>
                <w:noProof/>
                <w:webHidden/>
              </w:rPr>
            </w:r>
            <w:r w:rsidR="001435C5">
              <w:rPr>
                <w:noProof/>
                <w:webHidden/>
              </w:rPr>
              <w:fldChar w:fldCharType="separate"/>
            </w:r>
            <w:r w:rsidR="001435C5">
              <w:rPr>
                <w:noProof/>
                <w:webHidden/>
              </w:rPr>
              <w:t>15</w:t>
            </w:r>
            <w:r w:rsidR="001435C5">
              <w:rPr>
                <w:noProof/>
                <w:webHidden/>
              </w:rPr>
              <w:fldChar w:fldCharType="end"/>
            </w:r>
          </w:hyperlink>
        </w:p>
        <w:p w14:paraId="5640B343" w14:textId="487CA68C" w:rsidR="001435C5" w:rsidRDefault="00C77D0E">
          <w:pPr>
            <w:pStyle w:val="TOC2"/>
            <w:tabs>
              <w:tab w:val="left" w:pos="960"/>
              <w:tab w:val="right" w:pos="9010"/>
            </w:tabs>
            <w:rPr>
              <w:rFonts w:asciiTheme="minorHAnsi" w:eastAsiaTheme="minorEastAsia" w:hAnsiTheme="minorHAnsi" w:cstheme="minorBidi"/>
              <w:iCs w:val="0"/>
              <w:noProof/>
              <w:color w:val="auto"/>
              <w:szCs w:val="24"/>
            </w:rPr>
          </w:pPr>
          <w:hyperlink w:anchor="_Toc32874811" w:history="1">
            <w:r w:rsidR="001435C5" w:rsidRPr="008E1AD3">
              <w:rPr>
                <w:rStyle w:val="Hyperlink"/>
                <w:rFonts w:cs="Arial"/>
                <w:noProof/>
              </w:rPr>
              <w:t>1.2.</w:t>
            </w:r>
            <w:r w:rsidR="001435C5">
              <w:rPr>
                <w:rFonts w:asciiTheme="minorHAnsi" w:eastAsiaTheme="minorEastAsia" w:hAnsiTheme="minorHAnsi" w:cstheme="minorBidi"/>
                <w:iCs w:val="0"/>
                <w:noProof/>
                <w:color w:val="auto"/>
                <w:szCs w:val="24"/>
              </w:rPr>
              <w:tab/>
            </w:r>
            <w:r w:rsidR="001435C5" w:rsidRPr="008E1AD3">
              <w:rPr>
                <w:rStyle w:val="Hyperlink"/>
                <w:rFonts w:cs="Arial"/>
                <w:noProof/>
              </w:rPr>
              <w:t>Phase two methods – Developing the guidance</w:t>
            </w:r>
            <w:r w:rsidR="001435C5">
              <w:rPr>
                <w:noProof/>
                <w:webHidden/>
              </w:rPr>
              <w:tab/>
            </w:r>
            <w:r w:rsidR="001435C5">
              <w:rPr>
                <w:noProof/>
                <w:webHidden/>
              </w:rPr>
              <w:fldChar w:fldCharType="begin"/>
            </w:r>
            <w:r w:rsidR="001435C5">
              <w:rPr>
                <w:noProof/>
                <w:webHidden/>
              </w:rPr>
              <w:instrText xml:space="preserve"> PAGEREF _Toc32874811 \h </w:instrText>
            </w:r>
            <w:r w:rsidR="001435C5">
              <w:rPr>
                <w:noProof/>
                <w:webHidden/>
              </w:rPr>
            </w:r>
            <w:r w:rsidR="001435C5">
              <w:rPr>
                <w:noProof/>
                <w:webHidden/>
              </w:rPr>
              <w:fldChar w:fldCharType="separate"/>
            </w:r>
            <w:r w:rsidR="001435C5">
              <w:rPr>
                <w:noProof/>
                <w:webHidden/>
              </w:rPr>
              <w:t>16</w:t>
            </w:r>
            <w:r w:rsidR="001435C5">
              <w:rPr>
                <w:noProof/>
                <w:webHidden/>
              </w:rPr>
              <w:fldChar w:fldCharType="end"/>
            </w:r>
          </w:hyperlink>
        </w:p>
        <w:p w14:paraId="0B29FD17" w14:textId="0384C924" w:rsidR="001435C5" w:rsidRDefault="00C77D0E">
          <w:pPr>
            <w:pStyle w:val="TOC3"/>
            <w:tabs>
              <w:tab w:val="left" w:pos="1440"/>
              <w:tab w:val="right" w:pos="9010"/>
            </w:tabs>
            <w:rPr>
              <w:rFonts w:asciiTheme="minorHAnsi" w:eastAsiaTheme="minorEastAsia" w:hAnsiTheme="minorHAnsi" w:cstheme="minorBidi"/>
              <w:noProof/>
              <w:szCs w:val="24"/>
            </w:rPr>
          </w:pPr>
          <w:hyperlink w:anchor="_Toc32874812" w:history="1">
            <w:r w:rsidR="001435C5" w:rsidRPr="008E1AD3">
              <w:rPr>
                <w:rStyle w:val="Hyperlink"/>
                <w:rFonts w:cs="Arial"/>
                <w:noProof/>
              </w:rPr>
              <w:t>1.2.1.</w:t>
            </w:r>
            <w:r w:rsidR="001435C5">
              <w:rPr>
                <w:rFonts w:asciiTheme="minorHAnsi" w:eastAsiaTheme="minorEastAsia" w:hAnsiTheme="minorHAnsi" w:cstheme="minorBidi"/>
                <w:noProof/>
                <w:szCs w:val="24"/>
              </w:rPr>
              <w:tab/>
            </w:r>
            <w:r w:rsidR="001435C5" w:rsidRPr="008E1AD3">
              <w:rPr>
                <w:rStyle w:val="Hyperlink"/>
                <w:rFonts w:cs="Arial"/>
                <w:noProof/>
              </w:rPr>
              <w:t>PRSB advisory board</w:t>
            </w:r>
            <w:r w:rsidR="001435C5">
              <w:rPr>
                <w:noProof/>
                <w:webHidden/>
              </w:rPr>
              <w:tab/>
            </w:r>
            <w:r w:rsidR="001435C5">
              <w:rPr>
                <w:noProof/>
                <w:webHidden/>
              </w:rPr>
              <w:fldChar w:fldCharType="begin"/>
            </w:r>
            <w:r w:rsidR="001435C5">
              <w:rPr>
                <w:noProof/>
                <w:webHidden/>
              </w:rPr>
              <w:instrText xml:space="preserve"> PAGEREF _Toc32874812 \h </w:instrText>
            </w:r>
            <w:r w:rsidR="001435C5">
              <w:rPr>
                <w:noProof/>
                <w:webHidden/>
              </w:rPr>
            </w:r>
            <w:r w:rsidR="001435C5">
              <w:rPr>
                <w:noProof/>
                <w:webHidden/>
              </w:rPr>
              <w:fldChar w:fldCharType="separate"/>
            </w:r>
            <w:r w:rsidR="001435C5">
              <w:rPr>
                <w:noProof/>
                <w:webHidden/>
              </w:rPr>
              <w:t>16</w:t>
            </w:r>
            <w:r w:rsidR="001435C5">
              <w:rPr>
                <w:noProof/>
                <w:webHidden/>
              </w:rPr>
              <w:fldChar w:fldCharType="end"/>
            </w:r>
          </w:hyperlink>
        </w:p>
        <w:p w14:paraId="64DF1679" w14:textId="705FCDF4" w:rsidR="001435C5" w:rsidRDefault="00C77D0E">
          <w:pPr>
            <w:pStyle w:val="TOC3"/>
            <w:tabs>
              <w:tab w:val="left" w:pos="1440"/>
              <w:tab w:val="right" w:pos="9010"/>
            </w:tabs>
            <w:rPr>
              <w:rFonts w:asciiTheme="minorHAnsi" w:eastAsiaTheme="minorEastAsia" w:hAnsiTheme="minorHAnsi" w:cstheme="minorBidi"/>
              <w:noProof/>
              <w:szCs w:val="24"/>
            </w:rPr>
          </w:pPr>
          <w:hyperlink w:anchor="_Toc32874813" w:history="1">
            <w:r w:rsidR="001435C5" w:rsidRPr="008E1AD3">
              <w:rPr>
                <w:rStyle w:val="Hyperlink"/>
                <w:rFonts w:cs="Arial"/>
                <w:noProof/>
              </w:rPr>
              <w:t>1.2.2.</w:t>
            </w:r>
            <w:r w:rsidR="001435C5">
              <w:rPr>
                <w:rFonts w:asciiTheme="minorHAnsi" w:eastAsiaTheme="minorEastAsia" w:hAnsiTheme="minorHAnsi" w:cstheme="minorBidi"/>
                <w:noProof/>
                <w:szCs w:val="24"/>
              </w:rPr>
              <w:tab/>
            </w:r>
            <w:r w:rsidR="001435C5" w:rsidRPr="008E1AD3">
              <w:rPr>
                <w:rStyle w:val="Hyperlink"/>
                <w:rFonts w:cs="Arial"/>
                <w:noProof/>
              </w:rPr>
              <w:t>Consultation survey</w:t>
            </w:r>
            <w:r w:rsidR="001435C5">
              <w:rPr>
                <w:noProof/>
                <w:webHidden/>
              </w:rPr>
              <w:tab/>
            </w:r>
            <w:r w:rsidR="001435C5">
              <w:rPr>
                <w:noProof/>
                <w:webHidden/>
              </w:rPr>
              <w:fldChar w:fldCharType="begin"/>
            </w:r>
            <w:r w:rsidR="001435C5">
              <w:rPr>
                <w:noProof/>
                <w:webHidden/>
              </w:rPr>
              <w:instrText xml:space="preserve"> PAGEREF _Toc32874813 \h </w:instrText>
            </w:r>
            <w:r w:rsidR="001435C5">
              <w:rPr>
                <w:noProof/>
                <w:webHidden/>
              </w:rPr>
            </w:r>
            <w:r w:rsidR="001435C5">
              <w:rPr>
                <w:noProof/>
                <w:webHidden/>
              </w:rPr>
              <w:fldChar w:fldCharType="separate"/>
            </w:r>
            <w:r w:rsidR="001435C5">
              <w:rPr>
                <w:noProof/>
                <w:webHidden/>
              </w:rPr>
              <w:t>17</w:t>
            </w:r>
            <w:r w:rsidR="001435C5">
              <w:rPr>
                <w:noProof/>
                <w:webHidden/>
              </w:rPr>
              <w:fldChar w:fldCharType="end"/>
            </w:r>
          </w:hyperlink>
        </w:p>
        <w:p w14:paraId="5D6E05DC" w14:textId="4D2C63A0" w:rsidR="001435C5" w:rsidRDefault="00C77D0E">
          <w:pPr>
            <w:pStyle w:val="TOC3"/>
            <w:tabs>
              <w:tab w:val="left" w:pos="1440"/>
              <w:tab w:val="right" w:pos="9010"/>
            </w:tabs>
            <w:rPr>
              <w:rFonts w:asciiTheme="minorHAnsi" w:eastAsiaTheme="minorEastAsia" w:hAnsiTheme="minorHAnsi" w:cstheme="minorBidi"/>
              <w:noProof/>
              <w:szCs w:val="24"/>
            </w:rPr>
          </w:pPr>
          <w:hyperlink w:anchor="_Toc32874814" w:history="1">
            <w:r w:rsidR="001435C5" w:rsidRPr="008E1AD3">
              <w:rPr>
                <w:rStyle w:val="Hyperlink"/>
                <w:rFonts w:cs="Arial"/>
                <w:noProof/>
              </w:rPr>
              <w:t>1.2.3.</w:t>
            </w:r>
            <w:r w:rsidR="001435C5">
              <w:rPr>
                <w:rFonts w:asciiTheme="minorHAnsi" w:eastAsiaTheme="minorEastAsia" w:hAnsiTheme="minorHAnsi" w:cstheme="minorBidi"/>
                <w:noProof/>
                <w:szCs w:val="24"/>
              </w:rPr>
              <w:tab/>
            </w:r>
            <w:r w:rsidR="001435C5" w:rsidRPr="008E1AD3">
              <w:rPr>
                <w:rStyle w:val="Hyperlink"/>
                <w:rFonts w:cs="Arial"/>
                <w:noProof/>
              </w:rPr>
              <w:t>Twitter Chat with Patient Representatives</w:t>
            </w:r>
            <w:r w:rsidR="001435C5">
              <w:rPr>
                <w:noProof/>
                <w:webHidden/>
              </w:rPr>
              <w:tab/>
            </w:r>
            <w:r w:rsidR="001435C5">
              <w:rPr>
                <w:noProof/>
                <w:webHidden/>
              </w:rPr>
              <w:fldChar w:fldCharType="begin"/>
            </w:r>
            <w:r w:rsidR="001435C5">
              <w:rPr>
                <w:noProof/>
                <w:webHidden/>
              </w:rPr>
              <w:instrText xml:space="preserve"> PAGEREF _Toc32874814 \h </w:instrText>
            </w:r>
            <w:r w:rsidR="001435C5">
              <w:rPr>
                <w:noProof/>
                <w:webHidden/>
              </w:rPr>
            </w:r>
            <w:r w:rsidR="001435C5">
              <w:rPr>
                <w:noProof/>
                <w:webHidden/>
              </w:rPr>
              <w:fldChar w:fldCharType="separate"/>
            </w:r>
            <w:r w:rsidR="001435C5">
              <w:rPr>
                <w:noProof/>
                <w:webHidden/>
              </w:rPr>
              <w:t>19</w:t>
            </w:r>
            <w:r w:rsidR="001435C5">
              <w:rPr>
                <w:noProof/>
                <w:webHidden/>
              </w:rPr>
              <w:fldChar w:fldCharType="end"/>
            </w:r>
          </w:hyperlink>
        </w:p>
        <w:p w14:paraId="60E3A3F5" w14:textId="7B054273" w:rsidR="001435C5" w:rsidRDefault="00C77D0E">
          <w:pPr>
            <w:pStyle w:val="TOC3"/>
            <w:tabs>
              <w:tab w:val="left" w:pos="1440"/>
              <w:tab w:val="right" w:pos="9010"/>
            </w:tabs>
            <w:rPr>
              <w:rFonts w:asciiTheme="minorHAnsi" w:eastAsiaTheme="minorEastAsia" w:hAnsiTheme="minorHAnsi" w:cstheme="minorBidi"/>
              <w:noProof/>
              <w:szCs w:val="24"/>
            </w:rPr>
          </w:pPr>
          <w:hyperlink w:anchor="_Toc32874815" w:history="1">
            <w:r w:rsidR="001435C5" w:rsidRPr="008E1AD3">
              <w:rPr>
                <w:rStyle w:val="Hyperlink"/>
                <w:rFonts w:cs="Arial"/>
                <w:noProof/>
              </w:rPr>
              <w:t>1.2.4.</w:t>
            </w:r>
            <w:r w:rsidR="001435C5">
              <w:rPr>
                <w:rFonts w:asciiTheme="minorHAnsi" w:eastAsiaTheme="minorEastAsia" w:hAnsiTheme="minorHAnsi" w:cstheme="minorBidi"/>
                <w:noProof/>
                <w:szCs w:val="24"/>
              </w:rPr>
              <w:tab/>
            </w:r>
            <w:r w:rsidR="001435C5" w:rsidRPr="008E1AD3">
              <w:rPr>
                <w:rStyle w:val="Hyperlink"/>
                <w:rFonts w:cs="Arial"/>
                <w:noProof/>
              </w:rPr>
              <w:t>Development of the Initial Draft</w:t>
            </w:r>
            <w:r w:rsidR="001435C5">
              <w:rPr>
                <w:noProof/>
                <w:webHidden/>
              </w:rPr>
              <w:tab/>
            </w:r>
            <w:r w:rsidR="001435C5">
              <w:rPr>
                <w:noProof/>
                <w:webHidden/>
              </w:rPr>
              <w:fldChar w:fldCharType="begin"/>
            </w:r>
            <w:r w:rsidR="001435C5">
              <w:rPr>
                <w:noProof/>
                <w:webHidden/>
              </w:rPr>
              <w:instrText xml:space="preserve"> PAGEREF _Toc32874815 \h </w:instrText>
            </w:r>
            <w:r w:rsidR="001435C5">
              <w:rPr>
                <w:noProof/>
                <w:webHidden/>
              </w:rPr>
            </w:r>
            <w:r w:rsidR="001435C5">
              <w:rPr>
                <w:noProof/>
                <w:webHidden/>
              </w:rPr>
              <w:fldChar w:fldCharType="separate"/>
            </w:r>
            <w:r w:rsidR="001435C5">
              <w:rPr>
                <w:noProof/>
                <w:webHidden/>
              </w:rPr>
              <w:t>19</w:t>
            </w:r>
            <w:r w:rsidR="001435C5">
              <w:rPr>
                <w:noProof/>
                <w:webHidden/>
              </w:rPr>
              <w:fldChar w:fldCharType="end"/>
            </w:r>
          </w:hyperlink>
        </w:p>
        <w:p w14:paraId="1815E272" w14:textId="6651CE39" w:rsidR="001435C5" w:rsidRDefault="00C77D0E">
          <w:pPr>
            <w:pStyle w:val="TOC3"/>
            <w:tabs>
              <w:tab w:val="left" w:pos="1440"/>
              <w:tab w:val="right" w:pos="9010"/>
            </w:tabs>
            <w:rPr>
              <w:rFonts w:asciiTheme="minorHAnsi" w:eastAsiaTheme="minorEastAsia" w:hAnsiTheme="minorHAnsi" w:cstheme="minorBidi"/>
              <w:noProof/>
              <w:szCs w:val="24"/>
            </w:rPr>
          </w:pPr>
          <w:hyperlink w:anchor="_Toc32874816" w:history="1">
            <w:r w:rsidR="001435C5" w:rsidRPr="008E1AD3">
              <w:rPr>
                <w:rStyle w:val="Hyperlink"/>
                <w:rFonts w:cs="Arial"/>
                <w:noProof/>
              </w:rPr>
              <w:t>1.2.5.</w:t>
            </w:r>
            <w:r w:rsidR="001435C5">
              <w:rPr>
                <w:rFonts w:asciiTheme="minorHAnsi" w:eastAsiaTheme="minorEastAsia" w:hAnsiTheme="minorHAnsi" w:cstheme="minorBidi"/>
                <w:noProof/>
                <w:szCs w:val="24"/>
              </w:rPr>
              <w:tab/>
            </w:r>
            <w:r w:rsidR="001435C5" w:rsidRPr="008E1AD3">
              <w:rPr>
                <w:rStyle w:val="Hyperlink"/>
                <w:rFonts w:cs="Arial"/>
                <w:noProof/>
              </w:rPr>
              <w:t>Focus group consultation two</w:t>
            </w:r>
            <w:r w:rsidR="001435C5">
              <w:rPr>
                <w:noProof/>
                <w:webHidden/>
              </w:rPr>
              <w:tab/>
            </w:r>
            <w:r w:rsidR="001435C5">
              <w:rPr>
                <w:noProof/>
                <w:webHidden/>
              </w:rPr>
              <w:fldChar w:fldCharType="begin"/>
            </w:r>
            <w:r w:rsidR="001435C5">
              <w:rPr>
                <w:noProof/>
                <w:webHidden/>
              </w:rPr>
              <w:instrText xml:space="preserve"> PAGEREF _Toc32874816 \h </w:instrText>
            </w:r>
            <w:r w:rsidR="001435C5">
              <w:rPr>
                <w:noProof/>
                <w:webHidden/>
              </w:rPr>
            </w:r>
            <w:r w:rsidR="001435C5">
              <w:rPr>
                <w:noProof/>
                <w:webHidden/>
              </w:rPr>
              <w:fldChar w:fldCharType="separate"/>
            </w:r>
            <w:r w:rsidR="001435C5">
              <w:rPr>
                <w:noProof/>
                <w:webHidden/>
              </w:rPr>
              <w:t>19</w:t>
            </w:r>
            <w:r w:rsidR="001435C5">
              <w:rPr>
                <w:noProof/>
                <w:webHidden/>
              </w:rPr>
              <w:fldChar w:fldCharType="end"/>
            </w:r>
          </w:hyperlink>
        </w:p>
        <w:p w14:paraId="1A9CED3C" w14:textId="695FD9AB" w:rsidR="001435C5" w:rsidRDefault="00C77D0E">
          <w:pPr>
            <w:pStyle w:val="TOC2"/>
            <w:tabs>
              <w:tab w:val="left" w:pos="960"/>
              <w:tab w:val="right" w:pos="9010"/>
            </w:tabs>
            <w:rPr>
              <w:rFonts w:asciiTheme="minorHAnsi" w:eastAsiaTheme="minorEastAsia" w:hAnsiTheme="minorHAnsi" w:cstheme="minorBidi"/>
              <w:iCs w:val="0"/>
              <w:noProof/>
              <w:color w:val="auto"/>
              <w:szCs w:val="24"/>
            </w:rPr>
          </w:pPr>
          <w:hyperlink w:anchor="_Toc32874817" w:history="1">
            <w:r w:rsidR="001435C5" w:rsidRPr="008E1AD3">
              <w:rPr>
                <w:rStyle w:val="Hyperlink"/>
                <w:rFonts w:cs="Arial"/>
                <w:noProof/>
              </w:rPr>
              <w:t>1.3.</w:t>
            </w:r>
            <w:r w:rsidR="001435C5">
              <w:rPr>
                <w:rFonts w:asciiTheme="minorHAnsi" w:eastAsiaTheme="minorEastAsia" w:hAnsiTheme="minorHAnsi" w:cstheme="minorBidi"/>
                <w:iCs w:val="0"/>
                <w:noProof/>
                <w:color w:val="auto"/>
                <w:szCs w:val="24"/>
              </w:rPr>
              <w:tab/>
            </w:r>
            <w:r w:rsidR="001435C5" w:rsidRPr="008E1AD3">
              <w:rPr>
                <w:rStyle w:val="Hyperlink"/>
                <w:rFonts w:cs="Arial"/>
                <w:noProof/>
              </w:rPr>
              <w:t>Phase three methods – finalising the project deliverables</w:t>
            </w:r>
            <w:r w:rsidR="001435C5">
              <w:rPr>
                <w:noProof/>
                <w:webHidden/>
              </w:rPr>
              <w:tab/>
            </w:r>
            <w:r w:rsidR="001435C5">
              <w:rPr>
                <w:noProof/>
                <w:webHidden/>
              </w:rPr>
              <w:fldChar w:fldCharType="begin"/>
            </w:r>
            <w:r w:rsidR="001435C5">
              <w:rPr>
                <w:noProof/>
                <w:webHidden/>
              </w:rPr>
              <w:instrText xml:space="preserve"> PAGEREF _Toc32874817 \h </w:instrText>
            </w:r>
            <w:r w:rsidR="001435C5">
              <w:rPr>
                <w:noProof/>
                <w:webHidden/>
              </w:rPr>
            </w:r>
            <w:r w:rsidR="001435C5">
              <w:rPr>
                <w:noProof/>
                <w:webHidden/>
              </w:rPr>
              <w:fldChar w:fldCharType="separate"/>
            </w:r>
            <w:r w:rsidR="001435C5">
              <w:rPr>
                <w:noProof/>
                <w:webHidden/>
              </w:rPr>
              <w:t>20</w:t>
            </w:r>
            <w:r w:rsidR="001435C5">
              <w:rPr>
                <w:noProof/>
                <w:webHidden/>
              </w:rPr>
              <w:fldChar w:fldCharType="end"/>
            </w:r>
          </w:hyperlink>
        </w:p>
        <w:p w14:paraId="1145C4A8" w14:textId="23524F98" w:rsidR="001435C5" w:rsidRDefault="00C77D0E">
          <w:pPr>
            <w:pStyle w:val="TOC3"/>
            <w:tabs>
              <w:tab w:val="left" w:pos="1440"/>
              <w:tab w:val="right" w:pos="9010"/>
            </w:tabs>
            <w:rPr>
              <w:rFonts w:asciiTheme="minorHAnsi" w:eastAsiaTheme="minorEastAsia" w:hAnsiTheme="minorHAnsi" w:cstheme="minorBidi"/>
              <w:noProof/>
              <w:szCs w:val="24"/>
            </w:rPr>
          </w:pPr>
          <w:hyperlink w:anchor="_Toc32874818" w:history="1">
            <w:r w:rsidR="001435C5" w:rsidRPr="008E1AD3">
              <w:rPr>
                <w:rStyle w:val="Hyperlink"/>
                <w:rFonts w:cs="Arial"/>
                <w:noProof/>
              </w:rPr>
              <w:t>1.3.1.</w:t>
            </w:r>
            <w:r w:rsidR="001435C5">
              <w:rPr>
                <w:rFonts w:asciiTheme="minorHAnsi" w:eastAsiaTheme="minorEastAsia" w:hAnsiTheme="minorHAnsi" w:cstheme="minorBidi"/>
                <w:noProof/>
                <w:szCs w:val="24"/>
              </w:rPr>
              <w:tab/>
            </w:r>
            <w:r w:rsidR="001435C5" w:rsidRPr="008E1AD3">
              <w:rPr>
                <w:rStyle w:val="Hyperlink"/>
                <w:rFonts w:cs="Arial"/>
                <w:noProof/>
              </w:rPr>
              <w:t>Final Project Deliverables</w:t>
            </w:r>
            <w:r w:rsidR="001435C5">
              <w:rPr>
                <w:noProof/>
                <w:webHidden/>
              </w:rPr>
              <w:tab/>
            </w:r>
            <w:r w:rsidR="001435C5">
              <w:rPr>
                <w:noProof/>
                <w:webHidden/>
              </w:rPr>
              <w:fldChar w:fldCharType="begin"/>
            </w:r>
            <w:r w:rsidR="001435C5">
              <w:rPr>
                <w:noProof/>
                <w:webHidden/>
              </w:rPr>
              <w:instrText xml:space="preserve"> PAGEREF _Toc32874818 \h </w:instrText>
            </w:r>
            <w:r w:rsidR="001435C5">
              <w:rPr>
                <w:noProof/>
                <w:webHidden/>
              </w:rPr>
            </w:r>
            <w:r w:rsidR="001435C5">
              <w:rPr>
                <w:noProof/>
                <w:webHidden/>
              </w:rPr>
              <w:fldChar w:fldCharType="separate"/>
            </w:r>
            <w:r w:rsidR="001435C5">
              <w:rPr>
                <w:noProof/>
                <w:webHidden/>
              </w:rPr>
              <w:t>20</w:t>
            </w:r>
            <w:r w:rsidR="001435C5">
              <w:rPr>
                <w:noProof/>
                <w:webHidden/>
              </w:rPr>
              <w:fldChar w:fldCharType="end"/>
            </w:r>
          </w:hyperlink>
        </w:p>
        <w:p w14:paraId="1D303DB6" w14:textId="3C961ACD" w:rsidR="001435C5" w:rsidRDefault="001435C5" w:rsidP="001435C5">
          <w:pPr>
            <w:rPr>
              <w:noProof/>
            </w:rPr>
          </w:pPr>
          <w:r>
            <w:rPr>
              <w:rFonts w:ascii="Arial" w:hAnsi="Arial" w:cstheme="minorHAnsi"/>
              <w:b/>
              <w:bCs/>
              <w:caps/>
              <w:noProof/>
              <w:color w:val="0070C0"/>
              <w:sz w:val="22"/>
              <w:szCs w:val="22"/>
            </w:rPr>
            <w:fldChar w:fldCharType="end"/>
          </w:r>
        </w:p>
      </w:sdtContent>
    </w:sdt>
    <w:p w14:paraId="4D1DFF6B" w14:textId="13AF0229" w:rsidR="00881583" w:rsidRDefault="00881583" w:rsidP="00DE4BAF">
      <w:pPr>
        <w:spacing w:line="276" w:lineRule="auto"/>
        <w:rPr>
          <w:noProof/>
        </w:rPr>
      </w:pPr>
    </w:p>
    <w:p w14:paraId="7656832B" w14:textId="77777777" w:rsidR="000D2E9D" w:rsidRPr="009651EA" w:rsidRDefault="000D2E9D" w:rsidP="00DE4BAF">
      <w:pPr>
        <w:spacing w:line="276" w:lineRule="auto"/>
        <w:rPr>
          <w:noProof/>
        </w:rPr>
      </w:pPr>
    </w:p>
    <w:p w14:paraId="17328B5D" w14:textId="77777777" w:rsidR="00442E9F" w:rsidRDefault="00442E9F" w:rsidP="00DE4BAF">
      <w:pPr>
        <w:spacing w:line="276" w:lineRule="auto"/>
        <w:rPr>
          <w:rFonts w:ascii="Arial" w:eastAsiaTheme="majorEastAsia" w:hAnsi="Arial" w:cs="Arial"/>
          <w:b/>
          <w:bCs/>
          <w:color w:val="0070C0"/>
          <w:sz w:val="44"/>
          <w:szCs w:val="44"/>
        </w:rPr>
      </w:pPr>
      <w:r>
        <w:rPr>
          <w:rFonts w:ascii="Arial" w:hAnsi="Arial" w:cs="Arial"/>
          <w:b/>
          <w:bCs/>
          <w:color w:val="0070C0"/>
          <w:sz w:val="44"/>
          <w:szCs w:val="44"/>
        </w:rPr>
        <w:br w:type="page"/>
      </w:r>
    </w:p>
    <w:p w14:paraId="12DC7D06" w14:textId="09CB5975" w:rsidR="004507B7" w:rsidRDefault="006B0C42" w:rsidP="00DE4BAF">
      <w:pPr>
        <w:pStyle w:val="Heading1"/>
        <w:numPr>
          <w:ilvl w:val="0"/>
          <w:numId w:val="69"/>
        </w:numPr>
        <w:spacing w:line="276" w:lineRule="auto"/>
        <w:rPr>
          <w:rFonts w:ascii="Arial" w:hAnsi="Arial" w:cs="Arial"/>
          <w:b/>
          <w:bCs/>
          <w:color w:val="0070C0"/>
          <w:sz w:val="44"/>
          <w:szCs w:val="44"/>
        </w:rPr>
      </w:pPr>
      <w:bookmarkStart w:id="3" w:name="_Toc32874662"/>
      <w:bookmarkStart w:id="4" w:name="_Toc32874803"/>
      <w:r w:rsidRPr="00FA1909">
        <w:rPr>
          <w:rFonts w:ascii="Arial" w:hAnsi="Arial" w:cs="Arial"/>
          <w:b/>
          <w:bCs/>
          <w:color w:val="0070C0"/>
          <w:sz w:val="44"/>
          <w:szCs w:val="44"/>
        </w:rPr>
        <w:lastRenderedPageBreak/>
        <w:t>Introduction</w:t>
      </w:r>
      <w:bookmarkEnd w:id="3"/>
      <w:bookmarkEnd w:id="4"/>
    </w:p>
    <w:p w14:paraId="0EE8425D" w14:textId="77777777" w:rsidR="00930B8E" w:rsidRDefault="00930B8E" w:rsidP="00DE4BAF">
      <w:pPr>
        <w:spacing w:line="276" w:lineRule="auto"/>
        <w:rPr>
          <w:rFonts w:ascii="Arial" w:hAnsi="Arial" w:cs="Arial"/>
          <w:color w:val="000000" w:themeColor="text1"/>
          <w:sz w:val="22"/>
          <w:szCs w:val="22"/>
        </w:rPr>
      </w:pPr>
    </w:p>
    <w:p w14:paraId="01778201" w14:textId="27A5B982" w:rsidR="007C0FED" w:rsidRDefault="007C0FED" w:rsidP="00DE4BAF">
      <w:pPr>
        <w:pStyle w:val="NormalWeb"/>
        <w:spacing w:line="276" w:lineRule="auto"/>
        <w:rPr>
          <w:rFonts w:ascii="Arial" w:hAnsi="Arial" w:cs="Arial"/>
        </w:rPr>
      </w:pPr>
      <w:r w:rsidRPr="00B748E3">
        <w:rPr>
          <w:rFonts w:ascii="Arial" w:hAnsi="Arial" w:cs="Arial"/>
        </w:rPr>
        <w:t xml:space="preserve">This section </w:t>
      </w:r>
      <w:r>
        <w:rPr>
          <w:rFonts w:ascii="Arial" w:hAnsi="Arial" w:cs="Arial"/>
        </w:rPr>
        <w:t>summarises</w:t>
      </w:r>
      <w:r w:rsidRPr="00B748E3">
        <w:rPr>
          <w:rFonts w:ascii="Arial" w:hAnsi="Arial" w:cs="Arial"/>
        </w:rPr>
        <w:t xml:space="preserve"> the overall methodological approach used to develop the guidance, as well the specific methods involved.</w:t>
      </w:r>
    </w:p>
    <w:p w14:paraId="470B1EC9" w14:textId="09A07262" w:rsidR="006F11E0" w:rsidRDefault="006F11E0" w:rsidP="00DE4BAF">
      <w:pPr>
        <w:pStyle w:val="Heading1"/>
        <w:numPr>
          <w:ilvl w:val="0"/>
          <w:numId w:val="69"/>
        </w:numPr>
        <w:spacing w:line="276" w:lineRule="auto"/>
        <w:rPr>
          <w:rFonts w:ascii="Arial" w:hAnsi="Arial" w:cs="Arial"/>
          <w:b/>
          <w:bCs/>
          <w:color w:val="0070C0"/>
          <w:sz w:val="44"/>
          <w:szCs w:val="44"/>
        </w:rPr>
      </w:pPr>
      <w:bookmarkStart w:id="5" w:name="_Toc32874663"/>
      <w:bookmarkStart w:id="6" w:name="_Toc32874804"/>
      <w:r w:rsidRPr="006F11E0">
        <w:rPr>
          <w:rFonts w:ascii="Arial" w:hAnsi="Arial" w:cs="Arial"/>
          <w:b/>
          <w:bCs/>
          <w:color w:val="0070C0"/>
          <w:sz w:val="44"/>
          <w:szCs w:val="44"/>
        </w:rPr>
        <w:t>Methodology</w:t>
      </w:r>
      <w:bookmarkStart w:id="7" w:name="_Toc31493980"/>
      <w:bookmarkEnd w:id="5"/>
      <w:bookmarkEnd w:id="6"/>
    </w:p>
    <w:p w14:paraId="6B50CA3A" w14:textId="77777777" w:rsidR="006F11E0" w:rsidRPr="006F11E0" w:rsidRDefault="006F11E0" w:rsidP="00DE4BAF">
      <w:pPr>
        <w:spacing w:line="276" w:lineRule="auto"/>
      </w:pPr>
    </w:p>
    <w:p w14:paraId="71AE89C9" w14:textId="44A872D7" w:rsidR="006F11E0" w:rsidRPr="006F11E0" w:rsidRDefault="006F11E0" w:rsidP="00DE4BAF">
      <w:pPr>
        <w:pStyle w:val="Heading2"/>
        <w:spacing w:line="276" w:lineRule="auto"/>
        <w:ind w:left="792" w:hanging="792"/>
        <w:rPr>
          <w:rFonts w:ascii="Arial" w:hAnsi="Arial" w:cs="Arial"/>
          <w:color w:val="0070C0"/>
          <w:sz w:val="36"/>
          <w:szCs w:val="36"/>
        </w:rPr>
      </w:pPr>
      <w:bookmarkStart w:id="8" w:name="_Toc32874664"/>
      <w:bookmarkStart w:id="9" w:name="_Toc32874805"/>
      <w:r>
        <w:rPr>
          <w:rFonts w:ascii="Arial" w:hAnsi="Arial" w:cs="Arial"/>
          <w:color w:val="0070C0"/>
          <w:sz w:val="36"/>
          <w:szCs w:val="36"/>
        </w:rPr>
        <w:t xml:space="preserve">2.1 </w:t>
      </w:r>
      <w:r w:rsidRPr="006F11E0">
        <w:rPr>
          <w:rFonts w:ascii="Arial" w:hAnsi="Arial" w:cs="Arial"/>
          <w:color w:val="0070C0"/>
          <w:sz w:val="36"/>
          <w:szCs w:val="36"/>
        </w:rPr>
        <w:t>Project Initiation</w:t>
      </w:r>
      <w:bookmarkEnd w:id="7"/>
      <w:bookmarkEnd w:id="8"/>
      <w:bookmarkEnd w:id="9"/>
    </w:p>
    <w:p w14:paraId="4FE8DE9A" w14:textId="35477E69" w:rsidR="006F11E0" w:rsidRPr="00B748E3" w:rsidRDefault="006F11E0" w:rsidP="00DE4BAF">
      <w:pPr>
        <w:pStyle w:val="NormalWeb"/>
        <w:spacing w:line="276" w:lineRule="auto"/>
        <w:rPr>
          <w:rFonts w:ascii="Arial" w:hAnsi="Arial" w:cs="Arial"/>
        </w:rPr>
      </w:pPr>
      <w:r w:rsidRPr="00B748E3">
        <w:rPr>
          <w:rFonts w:ascii="Arial" w:hAnsi="Arial" w:cs="Arial"/>
        </w:rPr>
        <w:t>A Project Initiation Document was developed defining the overall project objectives and formed the ‘contract’ between the project team and the project board. Project board membership is summarised i</w:t>
      </w:r>
      <w:r w:rsidR="00053FB5">
        <w:rPr>
          <w:rFonts w:ascii="Arial" w:hAnsi="Arial" w:cs="Arial"/>
        </w:rPr>
        <w:t xml:space="preserve">n appendix B (separate document). </w:t>
      </w:r>
    </w:p>
    <w:p w14:paraId="60C31B2E" w14:textId="2CC6CD30" w:rsidR="007C0FED" w:rsidRPr="006F11E0" w:rsidRDefault="007C0FED" w:rsidP="00DE4BAF">
      <w:pPr>
        <w:pStyle w:val="Heading3"/>
        <w:numPr>
          <w:ilvl w:val="1"/>
          <w:numId w:val="70"/>
        </w:numPr>
        <w:spacing w:line="276" w:lineRule="auto"/>
        <w:rPr>
          <w:rFonts w:ascii="Arial" w:hAnsi="Arial" w:cs="Arial"/>
          <w:color w:val="0070C0"/>
          <w:sz w:val="36"/>
          <w:szCs w:val="36"/>
        </w:rPr>
      </w:pPr>
      <w:bookmarkStart w:id="10" w:name="_Toc31493981"/>
      <w:bookmarkStart w:id="11" w:name="_Toc32874665"/>
      <w:bookmarkStart w:id="12" w:name="_Toc32874806"/>
      <w:r w:rsidRPr="006F11E0">
        <w:rPr>
          <w:rFonts w:ascii="Arial" w:hAnsi="Arial" w:cs="Arial"/>
          <w:color w:val="0070C0"/>
          <w:sz w:val="36"/>
          <w:szCs w:val="36"/>
        </w:rPr>
        <w:t>Project approach</w:t>
      </w:r>
      <w:bookmarkEnd w:id="10"/>
      <w:bookmarkEnd w:id="11"/>
      <w:bookmarkEnd w:id="12"/>
    </w:p>
    <w:p w14:paraId="37F6A41B" w14:textId="77777777" w:rsidR="007C0FED" w:rsidRPr="00B748E3" w:rsidRDefault="007C0FED" w:rsidP="00DE4BAF">
      <w:pPr>
        <w:pStyle w:val="DocMgmtSubhead"/>
        <w:spacing w:line="276" w:lineRule="auto"/>
        <w:rPr>
          <w:rFonts w:cs="Arial"/>
          <w:b w:val="0"/>
          <w:bCs/>
          <w:color w:val="1C2640"/>
          <w:sz w:val="24"/>
          <w:szCs w:val="24"/>
        </w:rPr>
      </w:pPr>
      <w:r w:rsidRPr="00B748E3">
        <w:rPr>
          <w:rFonts w:cs="Arial"/>
          <w:b w:val="0"/>
          <w:bCs/>
          <w:color w:val="1C2640"/>
          <w:sz w:val="24"/>
          <w:szCs w:val="24"/>
        </w:rPr>
        <w:t xml:space="preserve">The overall approach to the development of the guidance was phased. </w:t>
      </w:r>
    </w:p>
    <w:p w14:paraId="0C02706F" w14:textId="77777777" w:rsidR="007C0FED" w:rsidRDefault="007C0FED" w:rsidP="00DE4BAF">
      <w:pPr>
        <w:pStyle w:val="DocMgmtSubhead"/>
        <w:spacing w:line="276" w:lineRule="auto"/>
        <w:rPr>
          <w:rFonts w:cs="Arial"/>
          <w:b w:val="0"/>
          <w:bCs/>
          <w:color w:val="1C2640"/>
          <w:sz w:val="24"/>
          <w:szCs w:val="24"/>
        </w:rPr>
      </w:pPr>
    </w:p>
    <w:p w14:paraId="54A016E2" w14:textId="77777777" w:rsidR="007C0FED" w:rsidRPr="00B748E3" w:rsidRDefault="007C0FED" w:rsidP="00DE4BAF">
      <w:pPr>
        <w:pStyle w:val="DocMgmtSubhead"/>
        <w:spacing w:line="276" w:lineRule="auto"/>
        <w:rPr>
          <w:rFonts w:cs="Arial"/>
          <w:b w:val="0"/>
          <w:bCs/>
          <w:color w:val="1C2640"/>
          <w:sz w:val="24"/>
          <w:szCs w:val="24"/>
        </w:rPr>
      </w:pPr>
      <w:r w:rsidRPr="00B748E3">
        <w:rPr>
          <w:rFonts w:cs="Arial"/>
          <w:b w:val="0"/>
          <w:bCs/>
          <w:color w:val="1C2640"/>
          <w:sz w:val="24"/>
          <w:szCs w:val="24"/>
        </w:rPr>
        <w:t xml:space="preserve">The </w:t>
      </w:r>
      <w:r w:rsidRPr="00B748E3">
        <w:rPr>
          <w:rFonts w:cs="Arial"/>
          <w:color w:val="0070C0"/>
          <w:sz w:val="24"/>
          <w:szCs w:val="24"/>
        </w:rPr>
        <w:t>first phase</w:t>
      </w:r>
      <w:r w:rsidRPr="00B748E3">
        <w:rPr>
          <w:rFonts w:cs="Arial"/>
          <w:b w:val="0"/>
          <w:bCs/>
          <w:color w:val="0070C0"/>
          <w:sz w:val="24"/>
          <w:szCs w:val="24"/>
        </w:rPr>
        <w:t xml:space="preserve"> </w:t>
      </w:r>
      <w:r w:rsidRPr="00B748E3">
        <w:rPr>
          <w:rFonts w:cs="Arial"/>
          <w:b w:val="0"/>
          <w:bCs/>
          <w:color w:val="1C2640"/>
          <w:sz w:val="24"/>
          <w:szCs w:val="24"/>
        </w:rPr>
        <w:t>was the scoping phase which consisted of:</w:t>
      </w:r>
    </w:p>
    <w:p w14:paraId="1C9ABDA9" w14:textId="77777777" w:rsidR="007C0FED" w:rsidRPr="00B748E3" w:rsidRDefault="007C0FED" w:rsidP="00DE4BAF">
      <w:pPr>
        <w:pStyle w:val="DocMgmtSubhead"/>
        <w:numPr>
          <w:ilvl w:val="0"/>
          <w:numId w:val="8"/>
        </w:numPr>
        <w:spacing w:line="276" w:lineRule="auto"/>
        <w:rPr>
          <w:rFonts w:cs="Arial"/>
          <w:b w:val="0"/>
          <w:bCs/>
          <w:color w:val="1C2640"/>
          <w:sz w:val="24"/>
          <w:szCs w:val="24"/>
        </w:rPr>
      </w:pPr>
      <w:r w:rsidRPr="00B748E3">
        <w:rPr>
          <w:rFonts w:cs="Arial"/>
          <w:b w:val="0"/>
          <w:bCs/>
          <w:color w:val="1C2640"/>
          <w:sz w:val="24"/>
          <w:szCs w:val="24"/>
        </w:rPr>
        <w:t>an evidence review and synthesis</w:t>
      </w:r>
    </w:p>
    <w:p w14:paraId="776AC2E6" w14:textId="77777777" w:rsidR="007C0FED" w:rsidRPr="00B748E3" w:rsidRDefault="007C0FED" w:rsidP="00DE4BAF">
      <w:pPr>
        <w:pStyle w:val="DocMgmtSubhead"/>
        <w:numPr>
          <w:ilvl w:val="0"/>
          <w:numId w:val="8"/>
        </w:numPr>
        <w:spacing w:line="276" w:lineRule="auto"/>
        <w:rPr>
          <w:rFonts w:cs="Arial"/>
          <w:b w:val="0"/>
          <w:bCs/>
          <w:color w:val="1C2640"/>
          <w:sz w:val="24"/>
          <w:szCs w:val="24"/>
        </w:rPr>
      </w:pPr>
      <w:r w:rsidRPr="00B748E3">
        <w:rPr>
          <w:rFonts w:cs="Arial"/>
          <w:b w:val="0"/>
          <w:bCs/>
          <w:color w:val="1C2640"/>
          <w:sz w:val="24"/>
          <w:szCs w:val="24"/>
        </w:rPr>
        <w:t xml:space="preserve">a focus group meeting with a small number of key UK stakeholders </w:t>
      </w:r>
    </w:p>
    <w:p w14:paraId="55C3EED5" w14:textId="77777777" w:rsidR="007C0FED" w:rsidRPr="00B748E3" w:rsidRDefault="007C0FED" w:rsidP="00DE4BAF">
      <w:pPr>
        <w:pStyle w:val="DocMgmtSubhead"/>
        <w:numPr>
          <w:ilvl w:val="0"/>
          <w:numId w:val="8"/>
        </w:numPr>
        <w:spacing w:line="276" w:lineRule="auto"/>
        <w:rPr>
          <w:rFonts w:cs="Arial"/>
          <w:b w:val="0"/>
          <w:bCs/>
          <w:color w:val="1C2640"/>
          <w:sz w:val="24"/>
          <w:szCs w:val="24"/>
        </w:rPr>
      </w:pPr>
      <w:r w:rsidRPr="00B748E3">
        <w:rPr>
          <w:rFonts w:cs="Arial"/>
          <w:b w:val="0"/>
          <w:bCs/>
          <w:color w:val="1C2640"/>
          <w:sz w:val="24"/>
          <w:szCs w:val="24"/>
        </w:rPr>
        <w:t xml:space="preserve">interviews with national and international stakeholders (including country comparator opinion leaders). </w:t>
      </w:r>
    </w:p>
    <w:p w14:paraId="58AE5631" w14:textId="77777777" w:rsidR="007C0FED" w:rsidRPr="00B748E3" w:rsidRDefault="007C0FED" w:rsidP="00DE4BAF">
      <w:pPr>
        <w:pStyle w:val="DocMgmtSubhead"/>
        <w:spacing w:line="276" w:lineRule="auto"/>
        <w:ind w:left="720"/>
        <w:rPr>
          <w:rFonts w:cs="Arial"/>
          <w:b w:val="0"/>
          <w:bCs/>
          <w:color w:val="1C2640"/>
          <w:sz w:val="24"/>
          <w:szCs w:val="24"/>
        </w:rPr>
      </w:pPr>
    </w:p>
    <w:p w14:paraId="332D7676" w14:textId="77777777" w:rsidR="007C0FED" w:rsidRPr="00B748E3" w:rsidRDefault="007C0FED" w:rsidP="00DE4BAF">
      <w:pPr>
        <w:pStyle w:val="DocMgmtSubhead"/>
        <w:spacing w:line="276" w:lineRule="auto"/>
        <w:rPr>
          <w:rFonts w:cs="Arial"/>
          <w:b w:val="0"/>
          <w:bCs/>
          <w:color w:val="1C2640"/>
          <w:sz w:val="24"/>
          <w:szCs w:val="24"/>
        </w:rPr>
      </w:pPr>
      <w:r w:rsidRPr="00B748E3">
        <w:rPr>
          <w:rFonts w:cs="Arial"/>
          <w:b w:val="0"/>
          <w:bCs/>
          <w:color w:val="1C2640"/>
          <w:sz w:val="24"/>
          <w:szCs w:val="24"/>
        </w:rPr>
        <w:t xml:space="preserve"> The </w:t>
      </w:r>
      <w:r w:rsidRPr="00B748E3">
        <w:rPr>
          <w:rFonts w:cs="Arial"/>
          <w:color w:val="0070C0"/>
          <w:sz w:val="24"/>
          <w:szCs w:val="24"/>
        </w:rPr>
        <w:t>second phase</w:t>
      </w:r>
      <w:r w:rsidRPr="00B748E3">
        <w:rPr>
          <w:rFonts w:cs="Arial"/>
          <w:b w:val="0"/>
          <w:bCs/>
          <w:color w:val="0070C0"/>
          <w:sz w:val="24"/>
          <w:szCs w:val="24"/>
        </w:rPr>
        <w:t xml:space="preserve"> </w:t>
      </w:r>
      <w:r w:rsidRPr="00B748E3">
        <w:rPr>
          <w:rFonts w:cs="Arial"/>
          <w:b w:val="0"/>
          <w:bCs/>
          <w:color w:val="1C2640"/>
          <w:sz w:val="24"/>
          <w:szCs w:val="24"/>
        </w:rPr>
        <w:t>was the development of guidance that consisted of:</w:t>
      </w:r>
    </w:p>
    <w:p w14:paraId="72264C7B" w14:textId="77777777" w:rsidR="007C0FED" w:rsidRPr="00B748E3" w:rsidRDefault="007C0FED" w:rsidP="00DE4BAF">
      <w:pPr>
        <w:pStyle w:val="DocMgmtSubhead"/>
        <w:numPr>
          <w:ilvl w:val="0"/>
          <w:numId w:val="9"/>
        </w:numPr>
        <w:spacing w:line="276" w:lineRule="auto"/>
        <w:rPr>
          <w:rFonts w:cs="Arial"/>
          <w:b w:val="0"/>
          <w:bCs/>
          <w:color w:val="1C2640"/>
          <w:sz w:val="24"/>
          <w:szCs w:val="24"/>
        </w:rPr>
      </w:pPr>
      <w:r w:rsidRPr="00B748E3">
        <w:rPr>
          <w:rFonts w:cs="Arial"/>
          <w:b w:val="0"/>
          <w:bCs/>
          <w:color w:val="1C2640"/>
          <w:sz w:val="24"/>
          <w:szCs w:val="24"/>
        </w:rPr>
        <w:t>further meetings with domain specific stakeholders and the use of existing PRSB networks and meetings to test the guidance; including the PRSB Advisory Board meeting</w:t>
      </w:r>
    </w:p>
    <w:p w14:paraId="4250ECB1" w14:textId="77777777" w:rsidR="007C0FED" w:rsidRPr="00B748E3" w:rsidRDefault="007C0FED" w:rsidP="00DE4BAF">
      <w:pPr>
        <w:pStyle w:val="DocMgmtSubhead"/>
        <w:numPr>
          <w:ilvl w:val="0"/>
          <w:numId w:val="9"/>
        </w:numPr>
        <w:spacing w:line="276" w:lineRule="auto"/>
        <w:rPr>
          <w:rFonts w:cs="Arial"/>
          <w:b w:val="0"/>
          <w:bCs/>
          <w:color w:val="1C2640"/>
          <w:sz w:val="24"/>
          <w:szCs w:val="24"/>
        </w:rPr>
      </w:pPr>
      <w:r w:rsidRPr="00B748E3">
        <w:rPr>
          <w:rFonts w:cs="Arial"/>
          <w:b w:val="0"/>
          <w:bCs/>
          <w:color w:val="1C2640"/>
          <w:sz w:val="24"/>
          <w:szCs w:val="24"/>
        </w:rPr>
        <w:t>a second wider multi-disciplinary and patient focus group meeting to test and refine the guidance.</w:t>
      </w:r>
    </w:p>
    <w:p w14:paraId="35950C42" w14:textId="77777777" w:rsidR="007C0FED" w:rsidRPr="00B748E3" w:rsidRDefault="007C0FED" w:rsidP="00DE4BAF">
      <w:pPr>
        <w:pStyle w:val="ListParagraph"/>
        <w:spacing w:line="276" w:lineRule="auto"/>
        <w:rPr>
          <w:rFonts w:cs="Arial"/>
          <w:bCs/>
          <w:color w:val="1C2640"/>
        </w:rPr>
      </w:pPr>
    </w:p>
    <w:p w14:paraId="13BB5E6C" w14:textId="77777777" w:rsidR="00053FB5" w:rsidRPr="005A608B" w:rsidRDefault="00053FB5" w:rsidP="00DE4BAF">
      <w:pPr>
        <w:pStyle w:val="DocMgmtSubhead"/>
        <w:spacing w:line="276" w:lineRule="auto"/>
        <w:rPr>
          <w:rFonts w:cs="Arial"/>
          <w:b w:val="0"/>
          <w:bCs/>
          <w:color w:val="000000" w:themeColor="text1"/>
          <w:sz w:val="24"/>
          <w:szCs w:val="24"/>
        </w:rPr>
      </w:pPr>
      <w:r w:rsidRPr="00B748E3">
        <w:rPr>
          <w:rFonts w:cs="Arial"/>
          <w:b w:val="0"/>
          <w:bCs/>
          <w:color w:val="1C2640"/>
          <w:sz w:val="24"/>
          <w:szCs w:val="24"/>
        </w:rPr>
        <w:t xml:space="preserve">The </w:t>
      </w:r>
      <w:r w:rsidRPr="00B748E3">
        <w:rPr>
          <w:rFonts w:cs="Arial"/>
          <w:color w:val="0070C0"/>
          <w:sz w:val="24"/>
          <w:szCs w:val="24"/>
        </w:rPr>
        <w:t>third phase</w:t>
      </w:r>
      <w:r w:rsidRPr="00B748E3">
        <w:rPr>
          <w:rFonts w:cs="Arial"/>
          <w:b w:val="0"/>
          <w:bCs/>
          <w:color w:val="0070C0"/>
          <w:sz w:val="24"/>
          <w:szCs w:val="24"/>
        </w:rPr>
        <w:t xml:space="preserve"> </w:t>
      </w:r>
      <w:r w:rsidRPr="00B748E3">
        <w:rPr>
          <w:rFonts w:cs="Arial"/>
          <w:b w:val="0"/>
          <w:bCs/>
          <w:color w:val="1C2640"/>
          <w:sz w:val="24"/>
          <w:szCs w:val="24"/>
        </w:rPr>
        <w:t>was</w:t>
      </w:r>
      <w:r>
        <w:rPr>
          <w:rFonts w:cs="Arial"/>
          <w:b w:val="0"/>
          <w:bCs/>
          <w:color w:val="1C2640"/>
          <w:sz w:val="24"/>
          <w:szCs w:val="24"/>
        </w:rPr>
        <w:t xml:space="preserve"> </w:t>
      </w:r>
      <w:r w:rsidRPr="005A608B">
        <w:rPr>
          <w:rFonts w:cs="Arial"/>
          <w:b w:val="0"/>
          <w:bCs/>
          <w:color w:val="000000" w:themeColor="text1"/>
          <w:sz w:val="24"/>
          <w:szCs w:val="24"/>
        </w:rPr>
        <w:t>the finalisation of the project deliverables. This included:</w:t>
      </w:r>
    </w:p>
    <w:p w14:paraId="162223D6" w14:textId="77777777" w:rsidR="00053FB5" w:rsidRPr="005A608B" w:rsidRDefault="00053FB5" w:rsidP="00DE4BAF">
      <w:pPr>
        <w:pStyle w:val="DocMgmtSubhead"/>
        <w:numPr>
          <w:ilvl w:val="0"/>
          <w:numId w:val="10"/>
        </w:numPr>
        <w:spacing w:line="276" w:lineRule="auto"/>
        <w:rPr>
          <w:rFonts w:cs="Arial"/>
          <w:b w:val="0"/>
          <w:bCs/>
          <w:color w:val="000000" w:themeColor="text1"/>
          <w:sz w:val="24"/>
          <w:szCs w:val="24"/>
        </w:rPr>
      </w:pPr>
      <w:r>
        <w:rPr>
          <w:rFonts w:cs="Arial"/>
          <w:b w:val="0"/>
          <w:bCs/>
          <w:color w:val="000000" w:themeColor="text1"/>
          <w:sz w:val="24"/>
          <w:szCs w:val="24"/>
        </w:rPr>
        <w:t xml:space="preserve">final </w:t>
      </w:r>
      <w:r w:rsidRPr="005A608B">
        <w:rPr>
          <w:rFonts w:cs="Arial"/>
          <w:b w:val="0"/>
          <w:bCs/>
          <w:color w:val="000000" w:themeColor="text1"/>
          <w:sz w:val="24"/>
          <w:szCs w:val="24"/>
        </w:rPr>
        <w:t xml:space="preserve">review of the guidance and final report, including specialists in pharmacy and genomic medicine. </w:t>
      </w:r>
    </w:p>
    <w:p w14:paraId="36C590F9" w14:textId="77777777" w:rsidR="00053FB5" w:rsidRPr="005A608B" w:rsidRDefault="00053FB5" w:rsidP="00DE4BAF">
      <w:pPr>
        <w:pStyle w:val="DocMgmtSubhead"/>
        <w:numPr>
          <w:ilvl w:val="0"/>
          <w:numId w:val="10"/>
        </w:numPr>
        <w:spacing w:line="276" w:lineRule="auto"/>
        <w:rPr>
          <w:rFonts w:cs="Arial"/>
          <w:b w:val="0"/>
          <w:bCs/>
          <w:color w:val="000000" w:themeColor="text1"/>
          <w:sz w:val="24"/>
          <w:szCs w:val="24"/>
        </w:rPr>
      </w:pPr>
      <w:r w:rsidRPr="005A608B">
        <w:rPr>
          <w:rFonts w:cs="Arial"/>
          <w:b w:val="0"/>
          <w:bCs/>
          <w:color w:val="000000" w:themeColor="text1"/>
          <w:sz w:val="24"/>
          <w:szCs w:val="24"/>
        </w:rPr>
        <w:t xml:space="preserve">a final project team review to reflect, revise and finalise findings of the report </w:t>
      </w:r>
      <w:r>
        <w:rPr>
          <w:rFonts w:cs="Arial"/>
          <w:b w:val="0"/>
          <w:bCs/>
          <w:color w:val="000000" w:themeColor="text1"/>
          <w:sz w:val="24"/>
          <w:szCs w:val="24"/>
        </w:rPr>
        <w:t xml:space="preserve">and </w:t>
      </w:r>
      <w:r w:rsidRPr="005A608B">
        <w:rPr>
          <w:rFonts w:cs="Arial"/>
          <w:b w:val="0"/>
          <w:bCs/>
          <w:color w:val="000000" w:themeColor="text1"/>
          <w:sz w:val="24"/>
          <w:szCs w:val="24"/>
        </w:rPr>
        <w:t>refine the guidance.</w:t>
      </w:r>
    </w:p>
    <w:p w14:paraId="56B069DC" w14:textId="77777777" w:rsidR="007C0FED" w:rsidRPr="00B748E3" w:rsidRDefault="007C0FED" w:rsidP="00DE4BAF">
      <w:pPr>
        <w:pStyle w:val="DocMgmtSubhead"/>
        <w:spacing w:line="276" w:lineRule="auto"/>
        <w:rPr>
          <w:rFonts w:cs="Arial"/>
          <w:b w:val="0"/>
          <w:bCs/>
          <w:color w:val="1C2640"/>
          <w:sz w:val="24"/>
          <w:szCs w:val="24"/>
        </w:rPr>
      </w:pPr>
    </w:p>
    <w:p w14:paraId="48DA0A2B" w14:textId="12C9456F" w:rsidR="007C0FED" w:rsidRPr="00B748E3" w:rsidRDefault="007C0FED" w:rsidP="00DE4BAF">
      <w:pPr>
        <w:pStyle w:val="DocMgmtSubhead"/>
        <w:spacing w:line="276" w:lineRule="auto"/>
        <w:rPr>
          <w:rFonts w:cs="Arial"/>
          <w:b w:val="0"/>
          <w:bCs/>
          <w:color w:val="1C2640"/>
          <w:sz w:val="24"/>
          <w:szCs w:val="24"/>
        </w:rPr>
      </w:pPr>
      <w:r w:rsidRPr="00B748E3">
        <w:rPr>
          <w:rFonts w:cs="Arial"/>
          <w:b w:val="0"/>
          <w:bCs/>
          <w:color w:val="1C2640"/>
          <w:sz w:val="24"/>
          <w:szCs w:val="24"/>
        </w:rPr>
        <w:lastRenderedPageBreak/>
        <w:t xml:space="preserve">Selected output from the consultations and evidence review used to inform the draft guidance can be found in </w:t>
      </w:r>
    </w:p>
    <w:p w14:paraId="6FC4E704" w14:textId="77777777" w:rsidR="007C0FED" w:rsidRPr="00B748E3" w:rsidRDefault="007C0FED" w:rsidP="00DE4BAF">
      <w:pPr>
        <w:pStyle w:val="NormalWeb"/>
        <w:spacing w:before="240" w:line="276" w:lineRule="auto"/>
        <w:rPr>
          <w:rFonts w:ascii="Arial" w:hAnsi="Arial" w:cs="Arial"/>
          <w:color w:val="000000" w:themeColor="text1"/>
        </w:rPr>
      </w:pPr>
      <w:r w:rsidRPr="00B748E3">
        <w:rPr>
          <w:rFonts w:ascii="Arial" w:hAnsi="Arial" w:cs="Arial"/>
          <w:color w:val="000000" w:themeColor="text1"/>
        </w:rPr>
        <w:t>Table 1. Webinar (focus group) attendance</w:t>
      </w:r>
    </w:p>
    <w:tbl>
      <w:tblPr>
        <w:tblStyle w:val="TableGrid"/>
        <w:tblW w:w="0" w:type="auto"/>
        <w:tblLook w:val="04A0" w:firstRow="1" w:lastRow="0" w:firstColumn="1" w:lastColumn="0" w:noHBand="0" w:noVBand="1"/>
      </w:tblPr>
      <w:tblGrid>
        <w:gridCol w:w="2122"/>
        <w:gridCol w:w="2976"/>
        <w:gridCol w:w="2552"/>
        <w:gridCol w:w="1360"/>
      </w:tblGrid>
      <w:tr w:rsidR="007C0FED" w14:paraId="6D2E632F" w14:textId="77777777" w:rsidTr="001149C3">
        <w:tc>
          <w:tcPr>
            <w:tcW w:w="2122" w:type="dxa"/>
            <w:tcBorders>
              <w:bottom w:val="single" w:sz="4" w:space="0" w:color="auto"/>
            </w:tcBorders>
            <w:shd w:val="clear" w:color="auto" w:fill="1072BD"/>
          </w:tcPr>
          <w:p w14:paraId="6FDF64A9" w14:textId="77777777" w:rsidR="007C0FED" w:rsidRPr="00422449" w:rsidRDefault="007C0FED" w:rsidP="00DE4BAF">
            <w:pPr>
              <w:pStyle w:val="NormalWeb"/>
              <w:spacing w:before="120" w:beforeAutospacing="0" w:after="120" w:afterAutospacing="0" w:line="276" w:lineRule="auto"/>
              <w:jc w:val="center"/>
              <w:rPr>
                <w:rFonts w:ascii="Arial,Bold" w:hAnsi="Arial,Bold"/>
                <w:color w:val="000000" w:themeColor="text1"/>
              </w:rPr>
            </w:pPr>
            <w:r>
              <w:rPr>
                <w:rFonts w:ascii="Arial,Bold" w:hAnsi="Arial,Bold"/>
                <w:color w:val="FFFFFF" w:themeColor="background1"/>
              </w:rPr>
              <w:t>Webinar</w:t>
            </w:r>
          </w:p>
        </w:tc>
        <w:tc>
          <w:tcPr>
            <w:tcW w:w="2976" w:type="dxa"/>
            <w:tcBorders>
              <w:bottom w:val="single" w:sz="4" w:space="0" w:color="auto"/>
            </w:tcBorders>
            <w:shd w:val="clear" w:color="auto" w:fill="1072BD"/>
          </w:tcPr>
          <w:p w14:paraId="682589EC" w14:textId="77777777" w:rsidR="007C0FED" w:rsidRPr="00422449" w:rsidRDefault="007C0FED" w:rsidP="00DE4BAF">
            <w:pPr>
              <w:pStyle w:val="NormalWeb"/>
              <w:spacing w:before="120" w:beforeAutospacing="0" w:after="120" w:afterAutospacing="0" w:line="276" w:lineRule="auto"/>
              <w:jc w:val="center"/>
              <w:rPr>
                <w:rFonts w:ascii="Arial,Bold" w:hAnsi="Arial,Bold"/>
                <w:color w:val="FFFFFF" w:themeColor="background1"/>
              </w:rPr>
            </w:pPr>
            <w:r>
              <w:rPr>
                <w:rFonts w:ascii="Arial,Bold" w:hAnsi="Arial,Bold"/>
                <w:color w:val="FFFFFF" w:themeColor="background1"/>
              </w:rPr>
              <w:t>Purpose</w:t>
            </w:r>
          </w:p>
        </w:tc>
        <w:tc>
          <w:tcPr>
            <w:tcW w:w="2552" w:type="dxa"/>
            <w:tcBorders>
              <w:bottom w:val="single" w:sz="4" w:space="0" w:color="auto"/>
            </w:tcBorders>
            <w:shd w:val="clear" w:color="auto" w:fill="1072BD"/>
          </w:tcPr>
          <w:p w14:paraId="03291D8C" w14:textId="77777777" w:rsidR="007C0FED" w:rsidRPr="00422449" w:rsidRDefault="007C0FED" w:rsidP="00DE4BAF">
            <w:pPr>
              <w:pStyle w:val="NormalWeb"/>
              <w:spacing w:before="120" w:beforeAutospacing="0" w:after="120" w:afterAutospacing="0" w:line="276" w:lineRule="auto"/>
              <w:jc w:val="center"/>
              <w:rPr>
                <w:rFonts w:ascii="Arial,Bold" w:hAnsi="Arial,Bold"/>
                <w:color w:val="FFFFFF" w:themeColor="background1"/>
              </w:rPr>
            </w:pPr>
            <w:r>
              <w:rPr>
                <w:rFonts w:ascii="Arial,Bold" w:hAnsi="Arial,Bold"/>
                <w:color w:val="FFFFFF" w:themeColor="background1"/>
              </w:rPr>
              <w:t>Date</w:t>
            </w:r>
          </w:p>
        </w:tc>
        <w:tc>
          <w:tcPr>
            <w:tcW w:w="1360" w:type="dxa"/>
            <w:tcBorders>
              <w:bottom w:val="single" w:sz="4" w:space="0" w:color="auto"/>
            </w:tcBorders>
            <w:shd w:val="clear" w:color="auto" w:fill="1072BD"/>
          </w:tcPr>
          <w:p w14:paraId="5B5F2C2B" w14:textId="77777777" w:rsidR="007C0FED" w:rsidRPr="00422449" w:rsidRDefault="007C0FED" w:rsidP="00DE4BAF">
            <w:pPr>
              <w:pStyle w:val="NormalWeb"/>
              <w:spacing w:before="120" w:beforeAutospacing="0" w:after="120" w:afterAutospacing="0" w:line="276" w:lineRule="auto"/>
              <w:ind w:firstLine="0"/>
              <w:jc w:val="center"/>
              <w:rPr>
                <w:rFonts w:ascii="Arial,Bold" w:hAnsi="Arial,Bold"/>
                <w:color w:val="FFFFFF" w:themeColor="background1"/>
              </w:rPr>
            </w:pPr>
            <w:r>
              <w:rPr>
                <w:rFonts w:ascii="Arial,Bold" w:hAnsi="Arial,Bold"/>
                <w:color w:val="FFFFFF" w:themeColor="background1"/>
              </w:rPr>
              <w:t>No. of attendees</w:t>
            </w:r>
          </w:p>
        </w:tc>
      </w:tr>
      <w:tr w:rsidR="007C0FED" w14:paraId="0FDE0F1E" w14:textId="77777777" w:rsidTr="001149C3">
        <w:tc>
          <w:tcPr>
            <w:tcW w:w="2122" w:type="dxa"/>
            <w:tcBorders>
              <w:top w:val="single" w:sz="4" w:space="0" w:color="auto"/>
              <w:left w:val="single" w:sz="4" w:space="0" w:color="auto"/>
              <w:bottom w:val="single" w:sz="4" w:space="0" w:color="auto"/>
              <w:right w:val="nil"/>
            </w:tcBorders>
          </w:tcPr>
          <w:p w14:paraId="279FF2B1" w14:textId="77777777" w:rsidR="007C0FED" w:rsidRPr="001D3D3E" w:rsidRDefault="007C0FED" w:rsidP="00DE4BAF">
            <w:pPr>
              <w:pStyle w:val="NormalWeb"/>
              <w:spacing w:before="120" w:beforeAutospacing="0" w:after="120" w:afterAutospacing="0" w:line="276" w:lineRule="auto"/>
              <w:rPr>
                <w:rFonts w:ascii="Arial,Bold" w:hAnsi="Arial,Bold"/>
                <w:color w:val="000000" w:themeColor="text1"/>
              </w:rPr>
            </w:pPr>
            <w:r w:rsidRPr="001D3D3E">
              <w:rPr>
                <w:rFonts w:ascii="Arial,Bold" w:hAnsi="Arial,Bold"/>
                <w:color w:val="000000" w:themeColor="text1"/>
              </w:rPr>
              <w:t>Focus group 1</w:t>
            </w:r>
          </w:p>
        </w:tc>
        <w:tc>
          <w:tcPr>
            <w:tcW w:w="2976" w:type="dxa"/>
            <w:tcBorders>
              <w:top w:val="single" w:sz="4" w:space="0" w:color="auto"/>
              <w:left w:val="nil"/>
              <w:bottom w:val="single" w:sz="4" w:space="0" w:color="auto"/>
              <w:right w:val="nil"/>
            </w:tcBorders>
          </w:tcPr>
          <w:p w14:paraId="3E2E4A71" w14:textId="77777777" w:rsidR="007C0FED" w:rsidRPr="00422449" w:rsidRDefault="007C0FED" w:rsidP="00DE4BAF">
            <w:pPr>
              <w:pStyle w:val="NormalWeb"/>
              <w:spacing w:before="120" w:beforeAutospacing="0" w:after="120" w:afterAutospacing="0" w:line="276" w:lineRule="auto"/>
              <w:ind w:firstLine="0"/>
              <w:rPr>
                <w:rFonts w:ascii="Arial,Bold" w:hAnsi="Arial,Bold"/>
                <w:color w:val="000000" w:themeColor="text1"/>
              </w:rPr>
            </w:pPr>
            <w:r>
              <w:rPr>
                <w:rFonts w:ascii="Arial,Bold" w:hAnsi="Arial,Bold"/>
                <w:color w:val="000000" w:themeColor="text1"/>
              </w:rPr>
              <w:t>To develop project scope</w:t>
            </w:r>
          </w:p>
        </w:tc>
        <w:tc>
          <w:tcPr>
            <w:tcW w:w="2552" w:type="dxa"/>
            <w:tcBorders>
              <w:top w:val="single" w:sz="4" w:space="0" w:color="auto"/>
              <w:left w:val="nil"/>
              <w:bottom w:val="single" w:sz="4" w:space="0" w:color="auto"/>
              <w:right w:val="nil"/>
            </w:tcBorders>
          </w:tcPr>
          <w:p w14:paraId="10EA983C" w14:textId="77777777" w:rsidR="007C0FED" w:rsidRPr="001D3D3E" w:rsidRDefault="007C0FED" w:rsidP="00DE4BAF">
            <w:pPr>
              <w:pStyle w:val="NormalWeb"/>
              <w:spacing w:before="120" w:beforeAutospacing="0" w:after="120" w:afterAutospacing="0" w:line="276" w:lineRule="auto"/>
              <w:ind w:firstLine="0"/>
              <w:rPr>
                <w:rFonts w:ascii="Arial" w:hAnsi="Arial" w:cs="Arial"/>
                <w:bCs/>
                <w:color w:val="000000" w:themeColor="text1"/>
                <w:sz w:val="24"/>
                <w:szCs w:val="24"/>
              </w:rPr>
            </w:pPr>
            <w:r w:rsidRPr="001D3D3E">
              <w:rPr>
                <w:rFonts w:ascii="Arial" w:hAnsi="Arial" w:cs="Arial"/>
                <w:bCs/>
                <w:color w:val="1C2640"/>
                <w:sz w:val="24"/>
                <w:szCs w:val="24"/>
              </w:rPr>
              <w:t>19</w:t>
            </w:r>
            <w:r w:rsidRPr="001D3D3E">
              <w:rPr>
                <w:rFonts w:ascii="Arial" w:hAnsi="Arial" w:cs="Arial"/>
                <w:bCs/>
                <w:color w:val="1C2640"/>
                <w:sz w:val="24"/>
                <w:szCs w:val="24"/>
                <w:vertAlign w:val="superscript"/>
              </w:rPr>
              <w:t>th</w:t>
            </w:r>
            <w:r w:rsidRPr="001D3D3E">
              <w:rPr>
                <w:rFonts w:ascii="Arial" w:hAnsi="Arial" w:cs="Arial"/>
                <w:bCs/>
                <w:color w:val="1C2640"/>
                <w:sz w:val="24"/>
                <w:szCs w:val="24"/>
              </w:rPr>
              <w:t xml:space="preserve"> September 2019</w:t>
            </w:r>
          </w:p>
        </w:tc>
        <w:tc>
          <w:tcPr>
            <w:tcW w:w="1360" w:type="dxa"/>
            <w:tcBorders>
              <w:top w:val="single" w:sz="4" w:space="0" w:color="auto"/>
              <w:left w:val="nil"/>
              <w:bottom w:val="single" w:sz="4" w:space="0" w:color="auto"/>
              <w:right w:val="single" w:sz="4" w:space="0" w:color="auto"/>
            </w:tcBorders>
          </w:tcPr>
          <w:p w14:paraId="12DEFEB5" w14:textId="77777777" w:rsidR="007C0FED" w:rsidRPr="00422449" w:rsidRDefault="007C0FED" w:rsidP="00DE4BAF">
            <w:pPr>
              <w:pStyle w:val="NormalWeb"/>
              <w:spacing w:before="120" w:beforeAutospacing="0" w:after="120" w:afterAutospacing="0" w:line="276" w:lineRule="auto"/>
              <w:jc w:val="center"/>
              <w:rPr>
                <w:rFonts w:ascii="Arial,Bold" w:hAnsi="Arial,Bold"/>
                <w:color w:val="000000" w:themeColor="text1"/>
              </w:rPr>
            </w:pPr>
            <w:r>
              <w:rPr>
                <w:rFonts w:ascii="Arial,Bold" w:hAnsi="Arial,Bold"/>
                <w:color w:val="000000" w:themeColor="text1"/>
              </w:rPr>
              <w:t>14</w:t>
            </w:r>
          </w:p>
        </w:tc>
      </w:tr>
      <w:tr w:rsidR="007C0FED" w14:paraId="1BAD5C42" w14:textId="77777777" w:rsidTr="001149C3">
        <w:tc>
          <w:tcPr>
            <w:tcW w:w="2122" w:type="dxa"/>
            <w:tcBorders>
              <w:top w:val="single" w:sz="4" w:space="0" w:color="auto"/>
              <w:left w:val="single" w:sz="4" w:space="0" w:color="auto"/>
              <w:bottom w:val="single" w:sz="4" w:space="0" w:color="auto"/>
              <w:right w:val="nil"/>
            </w:tcBorders>
          </w:tcPr>
          <w:p w14:paraId="54F6AF90" w14:textId="77777777" w:rsidR="007C0FED" w:rsidRPr="00422449" w:rsidRDefault="007C0FED" w:rsidP="00DE4BAF">
            <w:pPr>
              <w:pStyle w:val="NormalWeb"/>
              <w:spacing w:before="120" w:beforeAutospacing="0" w:after="120" w:afterAutospacing="0" w:line="276" w:lineRule="auto"/>
              <w:rPr>
                <w:rFonts w:ascii="Arial,Bold" w:hAnsi="Arial,Bold"/>
                <w:color w:val="000000" w:themeColor="text1"/>
              </w:rPr>
            </w:pPr>
            <w:r>
              <w:rPr>
                <w:rFonts w:ascii="Arial,Bold" w:hAnsi="Arial,Bold"/>
                <w:color w:val="000000" w:themeColor="text1"/>
              </w:rPr>
              <w:t>Focus Group 2</w:t>
            </w:r>
          </w:p>
        </w:tc>
        <w:tc>
          <w:tcPr>
            <w:tcW w:w="2976" w:type="dxa"/>
            <w:tcBorders>
              <w:top w:val="single" w:sz="4" w:space="0" w:color="auto"/>
              <w:left w:val="nil"/>
              <w:bottom w:val="single" w:sz="4" w:space="0" w:color="auto"/>
              <w:right w:val="nil"/>
            </w:tcBorders>
          </w:tcPr>
          <w:p w14:paraId="16BA13F6" w14:textId="77777777" w:rsidR="007C0FED" w:rsidRPr="00422449" w:rsidRDefault="007C0FED" w:rsidP="00DE4BAF">
            <w:pPr>
              <w:pStyle w:val="NormalWeb"/>
              <w:spacing w:before="120" w:beforeAutospacing="0" w:after="120" w:afterAutospacing="0" w:line="276" w:lineRule="auto"/>
              <w:ind w:firstLine="0"/>
              <w:rPr>
                <w:rFonts w:ascii="Arial,Bold" w:hAnsi="Arial,Bold"/>
                <w:color w:val="000000" w:themeColor="text1"/>
              </w:rPr>
            </w:pPr>
            <w:r>
              <w:rPr>
                <w:rFonts w:ascii="Arial,Bold" w:hAnsi="Arial,Bold"/>
                <w:color w:val="000000" w:themeColor="text1"/>
              </w:rPr>
              <w:t>To review project guidance</w:t>
            </w:r>
          </w:p>
        </w:tc>
        <w:tc>
          <w:tcPr>
            <w:tcW w:w="2552" w:type="dxa"/>
            <w:tcBorders>
              <w:top w:val="single" w:sz="4" w:space="0" w:color="auto"/>
              <w:left w:val="nil"/>
              <w:bottom w:val="single" w:sz="4" w:space="0" w:color="auto"/>
              <w:right w:val="nil"/>
            </w:tcBorders>
          </w:tcPr>
          <w:p w14:paraId="7B9C8660" w14:textId="77777777" w:rsidR="007C0FED" w:rsidRPr="001D3D3E" w:rsidRDefault="007C0FED" w:rsidP="00DE4BAF">
            <w:pPr>
              <w:pStyle w:val="NormalWeb"/>
              <w:spacing w:before="120" w:beforeAutospacing="0" w:after="120" w:afterAutospacing="0" w:line="276" w:lineRule="auto"/>
              <w:ind w:firstLine="0"/>
              <w:rPr>
                <w:rFonts w:ascii="Arial" w:hAnsi="Arial" w:cs="Arial"/>
                <w:bCs/>
                <w:color w:val="000000" w:themeColor="text1"/>
                <w:sz w:val="24"/>
                <w:szCs w:val="24"/>
              </w:rPr>
            </w:pPr>
            <w:r w:rsidRPr="001D3D3E">
              <w:rPr>
                <w:rFonts w:ascii="Arial" w:hAnsi="Arial" w:cs="Arial"/>
                <w:bCs/>
                <w:color w:val="1C2640"/>
                <w:sz w:val="24"/>
                <w:szCs w:val="24"/>
              </w:rPr>
              <w:t>21</w:t>
            </w:r>
            <w:r w:rsidRPr="001D3D3E">
              <w:rPr>
                <w:rFonts w:ascii="Arial" w:hAnsi="Arial" w:cs="Arial"/>
                <w:bCs/>
                <w:color w:val="1C2640"/>
                <w:sz w:val="24"/>
                <w:szCs w:val="24"/>
                <w:vertAlign w:val="superscript"/>
              </w:rPr>
              <w:t>st</w:t>
            </w:r>
            <w:r w:rsidRPr="001D3D3E">
              <w:rPr>
                <w:rFonts w:ascii="Arial" w:hAnsi="Arial" w:cs="Arial"/>
                <w:bCs/>
                <w:color w:val="1C2640"/>
                <w:sz w:val="24"/>
                <w:szCs w:val="24"/>
              </w:rPr>
              <w:t xml:space="preserve"> November 2019</w:t>
            </w:r>
          </w:p>
        </w:tc>
        <w:tc>
          <w:tcPr>
            <w:tcW w:w="1360" w:type="dxa"/>
            <w:tcBorders>
              <w:top w:val="single" w:sz="4" w:space="0" w:color="auto"/>
              <w:left w:val="nil"/>
              <w:bottom w:val="single" w:sz="4" w:space="0" w:color="auto"/>
              <w:right w:val="single" w:sz="4" w:space="0" w:color="auto"/>
            </w:tcBorders>
          </w:tcPr>
          <w:p w14:paraId="3EDC120D" w14:textId="77777777" w:rsidR="007C0FED" w:rsidRPr="00422449" w:rsidRDefault="007C0FED" w:rsidP="00DE4BAF">
            <w:pPr>
              <w:pStyle w:val="NormalWeb"/>
              <w:spacing w:before="120" w:beforeAutospacing="0" w:after="120" w:afterAutospacing="0" w:line="276" w:lineRule="auto"/>
              <w:jc w:val="center"/>
              <w:rPr>
                <w:rFonts w:ascii="Arial,Bold" w:hAnsi="Arial,Bold"/>
                <w:color w:val="000000" w:themeColor="text1"/>
              </w:rPr>
            </w:pPr>
            <w:r>
              <w:rPr>
                <w:rFonts w:ascii="Arial,Bold" w:hAnsi="Arial,Bold"/>
                <w:color w:val="000000" w:themeColor="text1"/>
              </w:rPr>
              <w:t>32</w:t>
            </w:r>
          </w:p>
        </w:tc>
      </w:tr>
    </w:tbl>
    <w:p w14:paraId="64B91A27" w14:textId="77777777" w:rsidR="007C0FED" w:rsidRDefault="007C0FED" w:rsidP="00DE4BAF">
      <w:pPr>
        <w:pStyle w:val="DocMgmtSubhead"/>
        <w:spacing w:line="276" w:lineRule="auto"/>
        <w:rPr>
          <w:color w:val="0070C0"/>
          <w:sz w:val="28"/>
          <w:szCs w:val="28"/>
        </w:rPr>
      </w:pPr>
    </w:p>
    <w:p w14:paraId="2C2D43A1" w14:textId="77777777" w:rsidR="007C0FED" w:rsidRPr="00404983" w:rsidRDefault="007C0FED" w:rsidP="00DE4BAF">
      <w:pPr>
        <w:pStyle w:val="Heading2"/>
        <w:numPr>
          <w:ilvl w:val="1"/>
          <w:numId w:val="42"/>
        </w:numPr>
        <w:spacing w:line="276" w:lineRule="auto"/>
        <w:ind w:hanging="792"/>
        <w:rPr>
          <w:rFonts w:ascii="Arial" w:hAnsi="Arial" w:cs="Arial"/>
          <w:color w:val="0070C0"/>
          <w:sz w:val="36"/>
          <w:szCs w:val="36"/>
        </w:rPr>
      </w:pPr>
      <w:bookmarkStart w:id="13" w:name="_Toc31493982"/>
      <w:bookmarkStart w:id="14" w:name="_Toc32874666"/>
      <w:bookmarkStart w:id="15" w:name="_Toc32874807"/>
      <w:r w:rsidRPr="00404983">
        <w:rPr>
          <w:rFonts w:ascii="Arial" w:hAnsi="Arial" w:cs="Arial"/>
          <w:color w:val="0070C0"/>
          <w:sz w:val="36"/>
          <w:szCs w:val="36"/>
        </w:rPr>
        <w:t xml:space="preserve">Phase one methods – </w:t>
      </w:r>
      <w:r>
        <w:rPr>
          <w:rFonts w:ascii="Arial" w:hAnsi="Arial" w:cs="Arial"/>
          <w:color w:val="0070C0"/>
          <w:sz w:val="36"/>
          <w:szCs w:val="36"/>
        </w:rPr>
        <w:t>D</w:t>
      </w:r>
      <w:r w:rsidRPr="00404983">
        <w:rPr>
          <w:rFonts w:ascii="Arial" w:hAnsi="Arial" w:cs="Arial"/>
          <w:color w:val="0070C0"/>
          <w:sz w:val="36"/>
          <w:szCs w:val="36"/>
        </w:rPr>
        <w:t>efining project scope</w:t>
      </w:r>
      <w:bookmarkEnd w:id="13"/>
      <w:bookmarkEnd w:id="14"/>
      <w:bookmarkEnd w:id="15"/>
    </w:p>
    <w:p w14:paraId="5F883BD2" w14:textId="77777777" w:rsidR="007C0FED" w:rsidRPr="00404983" w:rsidRDefault="007C0FED" w:rsidP="00DE4BAF">
      <w:pPr>
        <w:spacing w:line="276" w:lineRule="auto"/>
      </w:pPr>
    </w:p>
    <w:p w14:paraId="086BDA4F" w14:textId="77777777" w:rsidR="007C0FED" w:rsidRPr="00404983" w:rsidRDefault="007C0FED" w:rsidP="00DE4BAF">
      <w:pPr>
        <w:pStyle w:val="Heading3"/>
        <w:numPr>
          <w:ilvl w:val="2"/>
          <w:numId w:val="42"/>
        </w:numPr>
        <w:spacing w:line="276" w:lineRule="auto"/>
        <w:ind w:hanging="1224"/>
        <w:rPr>
          <w:rFonts w:ascii="Arial" w:hAnsi="Arial" w:cs="Arial"/>
          <w:color w:val="0070C0"/>
          <w:sz w:val="28"/>
          <w:szCs w:val="28"/>
        </w:rPr>
      </w:pPr>
      <w:bookmarkStart w:id="16" w:name="_Toc31493983"/>
      <w:bookmarkStart w:id="17" w:name="_Toc32874667"/>
      <w:bookmarkStart w:id="18" w:name="_Toc32874808"/>
      <w:r w:rsidRPr="00404983">
        <w:rPr>
          <w:rFonts w:ascii="Arial" w:hAnsi="Arial" w:cs="Arial"/>
          <w:color w:val="0070C0"/>
          <w:sz w:val="28"/>
          <w:szCs w:val="28"/>
        </w:rPr>
        <w:t>Evidence review</w:t>
      </w:r>
      <w:bookmarkEnd w:id="16"/>
      <w:bookmarkEnd w:id="17"/>
      <w:bookmarkEnd w:id="18"/>
    </w:p>
    <w:p w14:paraId="0DA2F93D" w14:textId="7B5C5FEA" w:rsidR="006F11E0" w:rsidRDefault="007C0FED" w:rsidP="00DE4BAF">
      <w:pPr>
        <w:pStyle w:val="DocMgmtSubhead"/>
        <w:spacing w:line="276" w:lineRule="auto"/>
        <w:rPr>
          <w:b w:val="0"/>
          <w:bCs/>
          <w:color w:val="1C2640"/>
          <w:sz w:val="24"/>
          <w:szCs w:val="24"/>
        </w:rPr>
      </w:pPr>
      <w:r w:rsidRPr="00B748E3">
        <w:rPr>
          <w:b w:val="0"/>
          <w:bCs/>
          <w:color w:val="1C2640"/>
          <w:sz w:val="24"/>
          <w:szCs w:val="24"/>
        </w:rPr>
        <w:t>The scope of the literature review for the evidence synthesis was necessarily limited; by time and budget constraints but also by the fact that the literature on pharmacogenomic alerts in healthcare is at a relatively early stage (~10 years of pilot or prototype systems). A systematic and pragmatic approach was therefore used. 10 well-known articles were initially identified by key stakeholders at the PRSB as relevant to the subject; these key studies as the starting point for the evidence review. Key references within these papers were identified to supplement information and key words were identified to use in a limited search for relevant evidence in a single bibliographic database (Medline). This search was performed on PubMed and incorporated MeSH terms and key words</w:t>
      </w:r>
      <w:r w:rsidR="006F11E0">
        <w:rPr>
          <w:b w:val="0"/>
          <w:bCs/>
          <w:color w:val="1C2640"/>
          <w:sz w:val="24"/>
          <w:szCs w:val="24"/>
        </w:rPr>
        <w:t>. The search strategy was as follows:</w:t>
      </w:r>
    </w:p>
    <w:p w14:paraId="67EC9008" w14:textId="00F7EFB4" w:rsidR="006F11E0" w:rsidRPr="006F11E0" w:rsidRDefault="006F11E0" w:rsidP="00DE4BAF">
      <w:pPr>
        <w:pStyle w:val="NormalWeb"/>
        <w:spacing w:line="276" w:lineRule="auto"/>
        <w:rPr>
          <w:rFonts w:ascii="Arial" w:hAnsi="Arial" w:cs="Arial"/>
        </w:rPr>
      </w:pPr>
      <w:r w:rsidRPr="006F11E0">
        <w:rPr>
          <w:rFonts w:ascii="Arial" w:hAnsi="Arial" w:cs="Arial"/>
        </w:rPr>
        <w:t xml:space="preserve"> (("Pharmacogenomic Variants"[Mesh] OR "Pharmacogenomic Testing"[Mesh] OR "Pharmacogenetics"[Mesh] OR "Precision Medicine"[Mesh] OR pharmacogen*) AND ("Decision Support Systems, Clinical"[Mesh] OR "Medical Order Entry Systems"[Mesh] OR notification* OR “Computerised Physician Order Entry”[All Fields] OR alert*[All Fields])</w:t>
      </w:r>
    </w:p>
    <w:p w14:paraId="2CA2B535" w14:textId="53347A04" w:rsidR="007C0FED" w:rsidRPr="00B748E3" w:rsidRDefault="007C0FED" w:rsidP="00DE4BAF">
      <w:pPr>
        <w:pStyle w:val="DocMgmtSubhead"/>
        <w:spacing w:line="276" w:lineRule="auto"/>
        <w:rPr>
          <w:rFonts w:cs="Arial"/>
          <w:color w:val="92D050"/>
          <w:sz w:val="24"/>
          <w:szCs w:val="24"/>
        </w:rPr>
      </w:pPr>
      <w:r w:rsidRPr="00B748E3">
        <w:rPr>
          <w:b w:val="0"/>
          <w:bCs/>
          <w:color w:val="1C2640"/>
          <w:sz w:val="24"/>
          <w:szCs w:val="24"/>
        </w:rPr>
        <w:t xml:space="preserve">The 293 articles identified were then excluded/included by title and abstract. Included articles were those relevant to pharmacogenomic alerting systems and clinical decision support; particularly examples of current practice and standards. Additional articles were identified from further stakeholder recommendations and specific queries to the </w:t>
      </w:r>
      <w:r w:rsidR="00053FB5">
        <w:rPr>
          <w:b w:val="0"/>
          <w:bCs/>
          <w:color w:val="1C2640"/>
          <w:sz w:val="24"/>
          <w:szCs w:val="24"/>
        </w:rPr>
        <w:t>G</w:t>
      </w:r>
      <w:r w:rsidRPr="00B748E3">
        <w:rPr>
          <w:b w:val="0"/>
          <w:bCs/>
          <w:color w:val="1C2640"/>
          <w:sz w:val="24"/>
          <w:szCs w:val="24"/>
        </w:rPr>
        <w:t>oogle search engine. Some of these articles were not specific to pharmacogenomics but were relevant in other ways e.g. for general alerting principles. Some of the evidence curated was used to justify the recommendations made, se</w:t>
      </w:r>
      <w:r w:rsidR="00053FB5">
        <w:rPr>
          <w:b w:val="0"/>
          <w:bCs/>
          <w:color w:val="1C2640"/>
          <w:sz w:val="24"/>
          <w:szCs w:val="24"/>
        </w:rPr>
        <w:t xml:space="preserve">e final report and appendix E (separate documents). </w:t>
      </w:r>
    </w:p>
    <w:p w14:paraId="790E880B" w14:textId="77777777" w:rsidR="007C0FED" w:rsidRPr="00B748E3" w:rsidRDefault="007C0FED" w:rsidP="00DE4BAF">
      <w:pPr>
        <w:pStyle w:val="DocMgmtSubhead"/>
        <w:spacing w:line="276" w:lineRule="auto"/>
        <w:rPr>
          <w:b w:val="0"/>
          <w:bCs/>
          <w:color w:val="1C2640"/>
          <w:sz w:val="24"/>
          <w:szCs w:val="24"/>
        </w:rPr>
      </w:pPr>
      <w:r w:rsidRPr="00B748E3">
        <w:rPr>
          <w:b w:val="0"/>
          <w:bCs/>
          <w:color w:val="1C2640"/>
          <w:sz w:val="24"/>
          <w:szCs w:val="24"/>
        </w:rPr>
        <w:t xml:space="preserve">The core project team conducted the evidence review which initially: </w:t>
      </w:r>
    </w:p>
    <w:p w14:paraId="3D860D60" w14:textId="77777777" w:rsidR="007C0FED" w:rsidRPr="00B748E3" w:rsidRDefault="007C0FED" w:rsidP="00DE4BAF">
      <w:pPr>
        <w:pStyle w:val="DocMgmtSubhead"/>
        <w:numPr>
          <w:ilvl w:val="0"/>
          <w:numId w:val="12"/>
        </w:numPr>
        <w:spacing w:line="276" w:lineRule="auto"/>
        <w:rPr>
          <w:b w:val="0"/>
          <w:bCs/>
          <w:color w:val="000000" w:themeColor="text1"/>
          <w:sz w:val="24"/>
          <w:szCs w:val="24"/>
        </w:rPr>
      </w:pPr>
      <w:r w:rsidRPr="00B748E3">
        <w:rPr>
          <w:rFonts w:cs="Arial"/>
          <w:b w:val="0"/>
          <w:bCs/>
          <w:color w:val="000000" w:themeColor="text1"/>
          <w:sz w:val="24"/>
          <w:szCs w:val="24"/>
        </w:rPr>
        <w:lastRenderedPageBreak/>
        <w:t xml:space="preserve">informed a preliminary draft set of discussion points to form a basis for consultation at the first focus group meeting, on the project scope </w:t>
      </w:r>
    </w:p>
    <w:p w14:paraId="5ABBED9F" w14:textId="77777777" w:rsidR="007C0FED" w:rsidRPr="00B748E3" w:rsidRDefault="007C0FED" w:rsidP="00DE4BAF">
      <w:pPr>
        <w:pStyle w:val="DocMgmtSubhead"/>
        <w:spacing w:line="276" w:lineRule="auto"/>
        <w:rPr>
          <w:b w:val="0"/>
          <w:bCs/>
          <w:color w:val="1C2640"/>
          <w:sz w:val="24"/>
          <w:szCs w:val="24"/>
        </w:rPr>
      </w:pPr>
      <w:r w:rsidRPr="00B748E3">
        <w:rPr>
          <w:b w:val="0"/>
          <w:bCs/>
          <w:color w:val="1C2640"/>
          <w:sz w:val="24"/>
          <w:szCs w:val="24"/>
        </w:rPr>
        <w:t>And later:</w:t>
      </w:r>
    </w:p>
    <w:p w14:paraId="7697CD1E" w14:textId="77777777" w:rsidR="007C0FED" w:rsidRPr="00B748E3" w:rsidRDefault="007C0FED" w:rsidP="00DE4BAF">
      <w:pPr>
        <w:pStyle w:val="DocMgmtSubhead"/>
        <w:numPr>
          <w:ilvl w:val="0"/>
          <w:numId w:val="12"/>
        </w:numPr>
        <w:spacing w:line="276" w:lineRule="auto"/>
        <w:rPr>
          <w:b w:val="0"/>
          <w:bCs/>
          <w:color w:val="000000" w:themeColor="text1"/>
          <w:sz w:val="24"/>
          <w:szCs w:val="24"/>
        </w:rPr>
      </w:pPr>
      <w:r w:rsidRPr="00B748E3">
        <w:rPr>
          <w:b w:val="0"/>
          <w:bCs/>
          <w:color w:val="000000" w:themeColor="text1"/>
          <w:sz w:val="24"/>
          <w:szCs w:val="24"/>
        </w:rPr>
        <w:t>allowed identification of research groups working on pharmacogenomic alerting systems for further consultation</w:t>
      </w:r>
    </w:p>
    <w:p w14:paraId="38A4E85E" w14:textId="77777777" w:rsidR="007C0FED" w:rsidRPr="00B748E3" w:rsidRDefault="007C0FED" w:rsidP="00DE4BAF">
      <w:pPr>
        <w:pStyle w:val="DocMgmtSubhead"/>
        <w:numPr>
          <w:ilvl w:val="0"/>
          <w:numId w:val="12"/>
        </w:numPr>
        <w:spacing w:line="276" w:lineRule="auto"/>
        <w:rPr>
          <w:b w:val="0"/>
          <w:bCs/>
          <w:color w:val="1C2640"/>
          <w:sz w:val="24"/>
          <w:szCs w:val="24"/>
        </w:rPr>
      </w:pPr>
      <w:r w:rsidRPr="00B748E3">
        <w:rPr>
          <w:b w:val="0"/>
          <w:bCs/>
          <w:color w:val="1C2640"/>
          <w:sz w:val="24"/>
          <w:szCs w:val="24"/>
        </w:rPr>
        <w:t>provided peer-reviewed evidence for the recommendations made in the draft guidance.</w:t>
      </w:r>
    </w:p>
    <w:p w14:paraId="29732A5A" w14:textId="77777777" w:rsidR="007C0FED" w:rsidRPr="003B3321" w:rsidRDefault="007C0FED" w:rsidP="00DE4BAF">
      <w:pPr>
        <w:spacing w:line="276" w:lineRule="auto"/>
        <w:rPr>
          <w:rFonts w:ascii="Arial" w:hAnsi="Arial"/>
          <w:bCs/>
          <w:color w:val="1C2640"/>
          <w:sz w:val="22"/>
          <w:szCs w:val="22"/>
        </w:rPr>
      </w:pPr>
    </w:p>
    <w:p w14:paraId="422C8E1F" w14:textId="77777777" w:rsidR="007C0FED" w:rsidRPr="00404983" w:rsidRDefault="007C0FED" w:rsidP="00DE4BAF">
      <w:pPr>
        <w:pStyle w:val="Heading3"/>
        <w:numPr>
          <w:ilvl w:val="2"/>
          <w:numId w:val="42"/>
        </w:numPr>
        <w:spacing w:line="276" w:lineRule="auto"/>
        <w:ind w:hanging="1224"/>
        <w:rPr>
          <w:rFonts w:ascii="Arial" w:hAnsi="Arial" w:cs="Arial"/>
          <w:color w:val="0070C0"/>
          <w:sz w:val="28"/>
          <w:szCs w:val="28"/>
        </w:rPr>
      </w:pPr>
      <w:bookmarkStart w:id="19" w:name="_Toc31493984"/>
      <w:bookmarkStart w:id="20" w:name="_Toc32874668"/>
      <w:bookmarkStart w:id="21" w:name="_Toc32874809"/>
      <w:r w:rsidRPr="00404983">
        <w:rPr>
          <w:rFonts w:ascii="Arial" w:hAnsi="Arial" w:cs="Arial"/>
          <w:color w:val="0070C0"/>
          <w:sz w:val="28"/>
          <w:szCs w:val="28"/>
        </w:rPr>
        <w:t xml:space="preserve">Focus </w:t>
      </w:r>
      <w:r>
        <w:rPr>
          <w:rFonts w:ascii="Arial" w:hAnsi="Arial" w:cs="Arial"/>
          <w:color w:val="0070C0"/>
          <w:sz w:val="28"/>
          <w:szCs w:val="28"/>
        </w:rPr>
        <w:t>g</w:t>
      </w:r>
      <w:r w:rsidRPr="00404983">
        <w:rPr>
          <w:rFonts w:ascii="Arial" w:hAnsi="Arial" w:cs="Arial"/>
          <w:color w:val="0070C0"/>
          <w:sz w:val="28"/>
          <w:szCs w:val="28"/>
        </w:rPr>
        <w:t xml:space="preserve">roup </w:t>
      </w:r>
      <w:r>
        <w:rPr>
          <w:rFonts w:ascii="Arial" w:hAnsi="Arial" w:cs="Arial"/>
          <w:color w:val="0070C0"/>
          <w:sz w:val="28"/>
          <w:szCs w:val="28"/>
        </w:rPr>
        <w:t>c</w:t>
      </w:r>
      <w:r w:rsidRPr="00404983">
        <w:rPr>
          <w:rFonts w:ascii="Arial" w:hAnsi="Arial" w:cs="Arial"/>
          <w:color w:val="0070C0"/>
          <w:sz w:val="28"/>
          <w:szCs w:val="28"/>
        </w:rPr>
        <w:t xml:space="preserve">onsultation </w:t>
      </w:r>
      <w:r>
        <w:rPr>
          <w:rFonts w:ascii="Arial" w:hAnsi="Arial" w:cs="Arial"/>
          <w:color w:val="0070C0"/>
          <w:sz w:val="28"/>
          <w:szCs w:val="28"/>
        </w:rPr>
        <w:t>one</w:t>
      </w:r>
      <w:bookmarkEnd w:id="19"/>
      <w:bookmarkEnd w:id="20"/>
      <w:bookmarkEnd w:id="21"/>
    </w:p>
    <w:p w14:paraId="4255036B" w14:textId="43977565" w:rsidR="007C0FED" w:rsidRPr="00B748E3" w:rsidRDefault="007C0FED" w:rsidP="00DE4BAF">
      <w:pPr>
        <w:pStyle w:val="DocMgmtSubhead"/>
        <w:spacing w:line="276" w:lineRule="auto"/>
        <w:rPr>
          <w:b w:val="0"/>
          <w:bCs/>
          <w:color w:val="1C2640"/>
          <w:sz w:val="24"/>
          <w:szCs w:val="24"/>
        </w:rPr>
      </w:pPr>
      <w:r w:rsidRPr="00B748E3">
        <w:rPr>
          <w:b w:val="0"/>
          <w:bCs/>
          <w:color w:val="1C2640"/>
          <w:sz w:val="24"/>
          <w:szCs w:val="24"/>
        </w:rPr>
        <w:t>The first focus group meeting took place on the 19</w:t>
      </w:r>
      <w:r w:rsidRPr="00B748E3">
        <w:rPr>
          <w:b w:val="0"/>
          <w:bCs/>
          <w:color w:val="1C2640"/>
          <w:sz w:val="24"/>
          <w:szCs w:val="24"/>
          <w:vertAlign w:val="superscript"/>
        </w:rPr>
        <w:t>th</w:t>
      </w:r>
      <w:r w:rsidRPr="00B748E3">
        <w:rPr>
          <w:b w:val="0"/>
          <w:bCs/>
          <w:color w:val="1C2640"/>
          <w:sz w:val="24"/>
          <w:szCs w:val="24"/>
        </w:rPr>
        <w:t xml:space="preserve"> September 2019 with healthcare professionals, PRSB representatives and members of the project team (attendees are listed </w:t>
      </w:r>
      <w:r w:rsidRPr="00053FB5">
        <w:rPr>
          <w:b w:val="0"/>
          <w:bCs/>
          <w:color w:val="000000" w:themeColor="text1"/>
          <w:sz w:val="24"/>
          <w:szCs w:val="24"/>
        </w:rPr>
        <w:t>i</w:t>
      </w:r>
      <w:r w:rsidR="00053FB5">
        <w:rPr>
          <w:b w:val="0"/>
          <w:bCs/>
          <w:color w:val="000000" w:themeColor="text1"/>
          <w:sz w:val="24"/>
          <w:szCs w:val="24"/>
        </w:rPr>
        <w:t xml:space="preserve">n appendix B (separate document). </w:t>
      </w:r>
      <w:r w:rsidRPr="00B748E3">
        <w:rPr>
          <w:b w:val="0"/>
          <w:bCs/>
          <w:color w:val="1C2640"/>
          <w:sz w:val="24"/>
          <w:szCs w:val="24"/>
        </w:rPr>
        <w:t>The aim of this focus group meeting, conducted in a webinar format, was to begin to explore what the scope of pharmacogenomic alerts guidance should be to improve safety and care of individuals. In this session facilitators sought the opinions of participants in relation to one of four key themes relating to pharmacogenomic alerts. Discussion was facilitated by illustrating some common themes from the evidence synthesis, interspersed with a series of ‘prompt’ questions as a starting point. The key themes discussed were</w:t>
      </w:r>
      <w:r w:rsidR="00053FB5">
        <w:rPr>
          <w:b w:val="0"/>
          <w:bCs/>
          <w:color w:val="1C2640"/>
          <w:sz w:val="24"/>
          <w:szCs w:val="24"/>
        </w:rPr>
        <w:t xml:space="preserve"> those resulting from the evidence review</w:t>
      </w:r>
      <w:r w:rsidRPr="00B748E3">
        <w:rPr>
          <w:b w:val="0"/>
          <w:bCs/>
          <w:color w:val="1C2640"/>
          <w:sz w:val="24"/>
          <w:szCs w:val="24"/>
        </w:rPr>
        <w:t>:</w:t>
      </w:r>
    </w:p>
    <w:p w14:paraId="5270F6A3" w14:textId="77777777" w:rsidR="007C0FED" w:rsidRPr="00B748E3" w:rsidRDefault="007C0FED" w:rsidP="00DE4BAF">
      <w:pPr>
        <w:pStyle w:val="DocMgmtSubhead"/>
        <w:numPr>
          <w:ilvl w:val="0"/>
          <w:numId w:val="13"/>
        </w:numPr>
        <w:spacing w:line="276" w:lineRule="auto"/>
        <w:rPr>
          <w:rFonts w:cs="Arial"/>
          <w:color w:val="92D050"/>
          <w:sz w:val="24"/>
          <w:szCs w:val="24"/>
        </w:rPr>
      </w:pPr>
      <w:r w:rsidRPr="00B748E3">
        <w:rPr>
          <w:b w:val="0"/>
          <w:bCs/>
          <w:color w:val="1C2640"/>
          <w:sz w:val="24"/>
          <w:szCs w:val="24"/>
        </w:rPr>
        <w:t>What information is being ‘alerted’?</w:t>
      </w:r>
    </w:p>
    <w:p w14:paraId="52B2B217" w14:textId="77777777" w:rsidR="007C0FED" w:rsidRPr="00B748E3" w:rsidRDefault="007C0FED" w:rsidP="00DE4BAF">
      <w:pPr>
        <w:pStyle w:val="DocMgmtSubhead"/>
        <w:numPr>
          <w:ilvl w:val="0"/>
          <w:numId w:val="13"/>
        </w:numPr>
        <w:spacing w:line="276" w:lineRule="auto"/>
        <w:rPr>
          <w:rFonts w:cs="Arial"/>
          <w:color w:val="92D050"/>
          <w:sz w:val="24"/>
          <w:szCs w:val="24"/>
        </w:rPr>
      </w:pPr>
      <w:r w:rsidRPr="00B748E3">
        <w:rPr>
          <w:b w:val="0"/>
          <w:bCs/>
          <w:color w:val="1C2640"/>
          <w:sz w:val="24"/>
          <w:szCs w:val="24"/>
        </w:rPr>
        <w:t>How is the information presented?</w:t>
      </w:r>
    </w:p>
    <w:p w14:paraId="2C670542" w14:textId="77777777" w:rsidR="007C0FED" w:rsidRPr="00B748E3" w:rsidRDefault="007C0FED" w:rsidP="00DE4BAF">
      <w:pPr>
        <w:pStyle w:val="DocMgmtSubhead"/>
        <w:numPr>
          <w:ilvl w:val="0"/>
          <w:numId w:val="13"/>
        </w:numPr>
        <w:spacing w:line="276" w:lineRule="auto"/>
        <w:rPr>
          <w:rFonts w:cs="Arial"/>
          <w:color w:val="92D050"/>
          <w:sz w:val="24"/>
          <w:szCs w:val="24"/>
        </w:rPr>
      </w:pPr>
      <w:r w:rsidRPr="00B748E3">
        <w:rPr>
          <w:b w:val="0"/>
          <w:bCs/>
          <w:color w:val="1C2640"/>
          <w:sz w:val="24"/>
          <w:szCs w:val="24"/>
        </w:rPr>
        <w:t>How is the information available dynamically through the lifecycle of a prescription?</w:t>
      </w:r>
    </w:p>
    <w:p w14:paraId="074173D8" w14:textId="77777777" w:rsidR="007C0FED" w:rsidRPr="00B748E3" w:rsidRDefault="007C0FED" w:rsidP="00DE4BAF">
      <w:pPr>
        <w:pStyle w:val="DocMgmtSubhead"/>
        <w:numPr>
          <w:ilvl w:val="0"/>
          <w:numId w:val="13"/>
        </w:numPr>
        <w:spacing w:line="276" w:lineRule="auto"/>
        <w:rPr>
          <w:rFonts w:cs="Arial"/>
          <w:color w:val="92D050"/>
          <w:sz w:val="24"/>
          <w:szCs w:val="24"/>
        </w:rPr>
      </w:pPr>
      <w:r w:rsidRPr="00B748E3">
        <w:rPr>
          <w:b w:val="0"/>
          <w:bCs/>
          <w:color w:val="1C2640"/>
          <w:sz w:val="24"/>
          <w:szCs w:val="24"/>
        </w:rPr>
        <w:t xml:space="preserve">How is this going to iteratively evolve? </w:t>
      </w:r>
    </w:p>
    <w:p w14:paraId="7505E827" w14:textId="0912E70D" w:rsidR="007C0FED" w:rsidRPr="00B748E3" w:rsidRDefault="007C0FED" w:rsidP="00DE4BAF">
      <w:pPr>
        <w:pStyle w:val="DocMgmtSubhead"/>
        <w:spacing w:line="276" w:lineRule="auto"/>
        <w:rPr>
          <w:rFonts w:cs="Arial"/>
          <w:b w:val="0"/>
          <w:bCs/>
          <w:color w:val="1C2640"/>
          <w:sz w:val="24"/>
          <w:szCs w:val="24"/>
        </w:rPr>
      </w:pPr>
      <w:r w:rsidRPr="00B748E3">
        <w:rPr>
          <w:b w:val="0"/>
          <w:bCs/>
          <w:color w:val="1C2640"/>
          <w:sz w:val="24"/>
          <w:szCs w:val="24"/>
        </w:rPr>
        <w:t xml:space="preserve">The proceedings were recorded, and the outputs analysed in order to refine and revise the scope in the light of the focus group meeting. </w:t>
      </w:r>
      <w:r w:rsidRPr="00B748E3">
        <w:rPr>
          <w:rFonts w:cs="Arial"/>
          <w:b w:val="0"/>
          <w:bCs/>
          <w:color w:val="000000" w:themeColor="text1"/>
          <w:sz w:val="24"/>
          <w:szCs w:val="24"/>
        </w:rPr>
        <w:t>A Focus Group Report (FGR) was produced that presented the themes emergent from the multi-disciplinary focus group meeting and early evidence synthesis, see</w:t>
      </w:r>
      <w:r w:rsidRPr="00B748E3">
        <w:rPr>
          <w:rFonts w:cs="Arial"/>
          <w:color w:val="92D050"/>
          <w:sz w:val="24"/>
          <w:szCs w:val="24"/>
        </w:rPr>
        <w:t xml:space="preserve"> </w:t>
      </w:r>
      <w:r w:rsidRPr="00053FB5">
        <w:rPr>
          <w:rFonts w:cs="Arial"/>
          <w:b w:val="0"/>
          <w:bCs/>
          <w:color w:val="000000" w:themeColor="text1"/>
          <w:sz w:val="24"/>
          <w:szCs w:val="24"/>
        </w:rPr>
        <w:t>appendix F (separate document).</w:t>
      </w:r>
      <w:r w:rsidRPr="00B748E3">
        <w:rPr>
          <w:rFonts w:cs="Arial"/>
          <w:b w:val="0"/>
          <w:bCs/>
          <w:color w:val="92D050"/>
          <w:sz w:val="24"/>
          <w:szCs w:val="24"/>
        </w:rPr>
        <w:t xml:space="preserve"> </w:t>
      </w:r>
      <w:r w:rsidRPr="00B748E3">
        <w:rPr>
          <w:rFonts w:cs="Arial"/>
          <w:b w:val="0"/>
          <w:bCs/>
          <w:color w:val="1C2640"/>
          <w:sz w:val="24"/>
          <w:szCs w:val="24"/>
        </w:rPr>
        <w:t>Selected output from the first focus group consultation, in the form of quotes used to inform the guidance, can be found i</w:t>
      </w:r>
      <w:r w:rsidR="00053FB5">
        <w:rPr>
          <w:rFonts w:cs="Arial"/>
          <w:b w:val="0"/>
          <w:bCs/>
          <w:color w:val="1C2640"/>
          <w:sz w:val="24"/>
          <w:szCs w:val="24"/>
        </w:rPr>
        <w:t xml:space="preserve">n appendix </w:t>
      </w:r>
      <w:r w:rsidR="00F92A62">
        <w:rPr>
          <w:rFonts w:cs="Arial"/>
          <w:b w:val="0"/>
          <w:bCs/>
          <w:color w:val="1C2640"/>
          <w:sz w:val="24"/>
          <w:szCs w:val="24"/>
        </w:rPr>
        <w:t>E (separate document), l</w:t>
      </w:r>
      <w:r w:rsidRPr="00B748E3">
        <w:rPr>
          <w:rFonts w:cs="Arial"/>
          <w:b w:val="0"/>
          <w:bCs/>
          <w:color w:val="000000" w:themeColor="text1"/>
          <w:sz w:val="24"/>
          <w:szCs w:val="24"/>
        </w:rPr>
        <w:t>abelled as ‘FG1’ in parentheses.</w:t>
      </w:r>
    </w:p>
    <w:p w14:paraId="7EA81354" w14:textId="77777777" w:rsidR="007C0FED" w:rsidRDefault="007C0FED" w:rsidP="00DE4BAF">
      <w:pPr>
        <w:pStyle w:val="DocMgmtSubhead"/>
        <w:spacing w:line="276" w:lineRule="auto"/>
        <w:rPr>
          <w:rFonts w:cs="Arial"/>
          <w:color w:val="92D050"/>
          <w:sz w:val="22"/>
          <w:szCs w:val="22"/>
        </w:rPr>
      </w:pPr>
    </w:p>
    <w:p w14:paraId="10FA84C4" w14:textId="77777777" w:rsidR="007C0FED" w:rsidRPr="00404983" w:rsidRDefault="007C0FED" w:rsidP="00DE4BAF">
      <w:pPr>
        <w:pStyle w:val="Heading3"/>
        <w:numPr>
          <w:ilvl w:val="2"/>
          <w:numId w:val="42"/>
        </w:numPr>
        <w:spacing w:line="276" w:lineRule="auto"/>
        <w:ind w:hanging="1224"/>
        <w:rPr>
          <w:rFonts w:ascii="Arial" w:hAnsi="Arial" w:cs="Arial"/>
          <w:color w:val="0070C0"/>
          <w:sz w:val="28"/>
          <w:szCs w:val="28"/>
        </w:rPr>
      </w:pPr>
      <w:bookmarkStart w:id="22" w:name="_Toc31493985"/>
      <w:bookmarkStart w:id="23" w:name="_Toc32874669"/>
      <w:bookmarkStart w:id="24" w:name="_Toc32874810"/>
      <w:r w:rsidRPr="00404983">
        <w:rPr>
          <w:rFonts w:ascii="Arial" w:hAnsi="Arial" w:cs="Arial"/>
          <w:color w:val="0070C0"/>
          <w:sz w:val="28"/>
          <w:szCs w:val="28"/>
        </w:rPr>
        <w:t>Consultation calls</w:t>
      </w:r>
      <w:bookmarkEnd w:id="22"/>
      <w:bookmarkEnd w:id="23"/>
      <w:bookmarkEnd w:id="24"/>
      <w:r w:rsidRPr="00404983">
        <w:rPr>
          <w:rFonts w:ascii="Arial" w:hAnsi="Arial" w:cs="Arial"/>
          <w:color w:val="0070C0"/>
          <w:sz w:val="28"/>
          <w:szCs w:val="28"/>
        </w:rPr>
        <w:t xml:space="preserve"> </w:t>
      </w:r>
    </w:p>
    <w:p w14:paraId="75C4016E" w14:textId="54258418" w:rsidR="007C0FED" w:rsidRPr="00B748E3" w:rsidRDefault="007C0FED" w:rsidP="00DE4BAF">
      <w:pPr>
        <w:pStyle w:val="NormalWeb"/>
        <w:spacing w:line="276" w:lineRule="auto"/>
        <w:rPr>
          <w:rFonts w:ascii="Arial" w:hAnsi="Arial" w:cs="Arial"/>
          <w:bCs/>
          <w:color w:val="000000" w:themeColor="text1"/>
        </w:rPr>
      </w:pPr>
      <w:r w:rsidRPr="00B748E3">
        <w:rPr>
          <w:rFonts w:ascii="Arial" w:hAnsi="Arial" w:cs="Arial"/>
          <w:bCs/>
          <w:color w:val="000000" w:themeColor="text1"/>
        </w:rPr>
        <w:t xml:space="preserve">To gain an insight into the current implementation of pharmacogenomic alerts and clinical decision support in different systems and settings, semi-structured interviews were conducted with international experts who are already implementing pharmacogenomics alerting systems in healthcare and research settings. These contacts were selected based on the fact they had published peer-reviewed articles </w:t>
      </w:r>
      <w:r w:rsidRPr="00B748E3">
        <w:rPr>
          <w:rFonts w:ascii="Arial" w:hAnsi="Arial" w:cs="Arial"/>
          <w:bCs/>
          <w:color w:val="000000" w:themeColor="text1"/>
        </w:rPr>
        <w:lastRenderedPageBreak/>
        <w:t xml:space="preserve">in the field and had first-hand experience with implementing and evaluating pharmacogenomic alerting systems, in real clinical settings. The calls with international comparators were transcribed and then analysed using thematic analysis. In addition, consultation calls took place in the UK, both with healthcare professionals with a special interest in health informatics and with patient representatives. Furthermore, two freeform face-to-face consultations were conducted with community pharmacists in the UK, to gain an insight into the potential role of alerts in the prescribing process. </w:t>
      </w:r>
      <w:r w:rsidRPr="00B748E3">
        <w:rPr>
          <w:rFonts w:ascii="Arial" w:hAnsi="Arial" w:cs="Arial"/>
          <w:bCs/>
          <w:color w:val="1C2640"/>
        </w:rPr>
        <w:t>Selected output from the consultation calls, in the form of quotes used to inform the guidance, can be found in</w:t>
      </w:r>
      <w:r w:rsidR="00F92A62">
        <w:rPr>
          <w:rFonts w:ascii="Arial" w:hAnsi="Arial" w:cs="Arial"/>
          <w:bCs/>
          <w:color w:val="1C2640"/>
        </w:rPr>
        <w:t xml:space="preserve"> appendix E (separate document), l</w:t>
      </w:r>
      <w:r w:rsidRPr="00B748E3">
        <w:rPr>
          <w:rFonts w:ascii="Arial" w:hAnsi="Arial" w:cs="Arial"/>
          <w:bCs/>
          <w:color w:val="1C2640"/>
        </w:rPr>
        <w:t xml:space="preserve">abelled by country or as ‘PRCC’ (patient consultation) in parentheses. </w:t>
      </w:r>
    </w:p>
    <w:p w14:paraId="7B77DBEF" w14:textId="77777777" w:rsidR="007C0FED" w:rsidRPr="00B748E3" w:rsidRDefault="007C0FED" w:rsidP="00DE4BAF">
      <w:pPr>
        <w:pStyle w:val="NormalWeb"/>
        <w:spacing w:line="276" w:lineRule="auto"/>
        <w:rPr>
          <w:rFonts w:ascii="Arial" w:hAnsi="Arial" w:cs="Arial"/>
          <w:color w:val="1078B9"/>
        </w:rPr>
      </w:pPr>
      <w:r w:rsidRPr="00B748E3">
        <w:rPr>
          <w:rFonts w:ascii="Arial" w:hAnsi="Arial" w:cs="Arial"/>
          <w:bCs/>
          <w:color w:val="000000" w:themeColor="text1"/>
        </w:rPr>
        <w:t>The output from the consultation calls was used to inform the draft guidance recommendations.</w:t>
      </w:r>
    </w:p>
    <w:p w14:paraId="403D4D25" w14:textId="77777777" w:rsidR="007C0FED" w:rsidRPr="00B748E3" w:rsidRDefault="007C0FED" w:rsidP="00DE4BAF">
      <w:pPr>
        <w:pStyle w:val="NormalWeb"/>
        <w:spacing w:before="240" w:line="276" w:lineRule="auto"/>
        <w:rPr>
          <w:rFonts w:ascii="Arial" w:hAnsi="Arial" w:cs="Arial"/>
          <w:color w:val="000000" w:themeColor="text1"/>
        </w:rPr>
      </w:pPr>
      <w:r w:rsidRPr="00B748E3">
        <w:rPr>
          <w:rFonts w:ascii="Arial" w:hAnsi="Arial" w:cs="Arial"/>
          <w:color w:val="000000" w:themeColor="text1"/>
        </w:rPr>
        <w:t>Table 2. Countries involved in consultation calls</w:t>
      </w:r>
    </w:p>
    <w:tbl>
      <w:tblPr>
        <w:tblStyle w:val="TableGrid"/>
        <w:tblW w:w="0" w:type="auto"/>
        <w:tblLook w:val="04A0" w:firstRow="1" w:lastRow="0" w:firstColumn="1" w:lastColumn="0" w:noHBand="0" w:noVBand="1"/>
      </w:tblPr>
      <w:tblGrid>
        <w:gridCol w:w="5949"/>
        <w:gridCol w:w="1701"/>
      </w:tblGrid>
      <w:tr w:rsidR="007C0FED" w14:paraId="33520A88" w14:textId="77777777" w:rsidTr="001149C3">
        <w:tc>
          <w:tcPr>
            <w:tcW w:w="5949" w:type="dxa"/>
            <w:tcBorders>
              <w:bottom w:val="single" w:sz="4" w:space="0" w:color="auto"/>
            </w:tcBorders>
            <w:shd w:val="clear" w:color="auto" w:fill="1072BD"/>
          </w:tcPr>
          <w:p w14:paraId="0AC55EE2" w14:textId="77777777" w:rsidR="007C0FED" w:rsidRPr="00A30BA3" w:rsidRDefault="007C0FED" w:rsidP="00DE4BAF">
            <w:pPr>
              <w:pStyle w:val="NormalWeb"/>
              <w:spacing w:before="120" w:beforeAutospacing="0" w:after="120" w:afterAutospacing="0" w:line="276" w:lineRule="auto"/>
              <w:jc w:val="center"/>
              <w:rPr>
                <w:rFonts w:ascii="Arial,Bold" w:hAnsi="Arial,Bold"/>
                <w:color w:val="FFFFFF" w:themeColor="background1"/>
              </w:rPr>
            </w:pPr>
            <w:r>
              <w:rPr>
                <w:rFonts w:ascii="Arial,Bold" w:hAnsi="Arial,Bold"/>
                <w:color w:val="FFFFFF" w:themeColor="background1"/>
              </w:rPr>
              <w:t>Country</w:t>
            </w:r>
          </w:p>
        </w:tc>
        <w:tc>
          <w:tcPr>
            <w:tcW w:w="1701" w:type="dxa"/>
            <w:tcBorders>
              <w:bottom w:val="single" w:sz="4" w:space="0" w:color="auto"/>
            </w:tcBorders>
            <w:shd w:val="clear" w:color="auto" w:fill="1072BD"/>
          </w:tcPr>
          <w:p w14:paraId="50D5C0CB" w14:textId="77777777" w:rsidR="007C0FED" w:rsidRPr="00422449" w:rsidRDefault="007C0FED" w:rsidP="00DE4BAF">
            <w:pPr>
              <w:pStyle w:val="NormalWeb"/>
              <w:spacing w:before="120" w:beforeAutospacing="0" w:after="120" w:afterAutospacing="0" w:line="276" w:lineRule="auto"/>
              <w:jc w:val="center"/>
              <w:rPr>
                <w:rFonts w:ascii="Arial,Bold" w:hAnsi="Arial,Bold"/>
                <w:color w:val="FFFFFF" w:themeColor="background1"/>
              </w:rPr>
            </w:pPr>
            <w:r>
              <w:rPr>
                <w:rFonts w:ascii="Arial,Bold" w:hAnsi="Arial,Bold"/>
                <w:color w:val="FFFFFF" w:themeColor="background1"/>
              </w:rPr>
              <w:t>No. of calls</w:t>
            </w:r>
          </w:p>
        </w:tc>
      </w:tr>
      <w:tr w:rsidR="007C0FED" w14:paraId="677334FC" w14:textId="77777777" w:rsidTr="001149C3">
        <w:tc>
          <w:tcPr>
            <w:tcW w:w="5949" w:type="dxa"/>
            <w:tcBorders>
              <w:top w:val="single" w:sz="4" w:space="0" w:color="auto"/>
              <w:left w:val="single" w:sz="4" w:space="0" w:color="auto"/>
              <w:bottom w:val="single" w:sz="4" w:space="0" w:color="auto"/>
              <w:right w:val="nil"/>
            </w:tcBorders>
          </w:tcPr>
          <w:p w14:paraId="6D6AD4A0" w14:textId="77777777" w:rsidR="007C0FED" w:rsidRPr="00422449" w:rsidRDefault="007C0FED" w:rsidP="00DE4BAF">
            <w:pPr>
              <w:pStyle w:val="NormalWeb"/>
              <w:spacing w:before="120" w:beforeAutospacing="0" w:after="120" w:afterAutospacing="0" w:line="276" w:lineRule="auto"/>
              <w:rPr>
                <w:rFonts w:ascii="Arial,Bold" w:hAnsi="Arial,Bold"/>
                <w:color w:val="000000" w:themeColor="text1"/>
              </w:rPr>
            </w:pPr>
            <w:r>
              <w:rPr>
                <w:rFonts w:ascii="Arial,Bold" w:hAnsi="Arial,Bold"/>
                <w:color w:val="000000" w:themeColor="text1"/>
              </w:rPr>
              <w:t>USA</w:t>
            </w:r>
          </w:p>
        </w:tc>
        <w:tc>
          <w:tcPr>
            <w:tcW w:w="1701" w:type="dxa"/>
            <w:tcBorders>
              <w:top w:val="single" w:sz="4" w:space="0" w:color="auto"/>
              <w:left w:val="nil"/>
              <w:bottom w:val="single" w:sz="4" w:space="0" w:color="auto"/>
              <w:right w:val="single" w:sz="4" w:space="0" w:color="auto"/>
            </w:tcBorders>
          </w:tcPr>
          <w:p w14:paraId="366BFA6F" w14:textId="77777777" w:rsidR="007C0FED" w:rsidRPr="00422449" w:rsidRDefault="007C0FED" w:rsidP="00DE4BAF">
            <w:pPr>
              <w:pStyle w:val="NormalWeb"/>
              <w:spacing w:before="120" w:beforeAutospacing="0" w:after="120" w:afterAutospacing="0" w:line="276" w:lineRule="auto"/>
              <w:jc w:val="center"/>
              <w:rPr>
                <w:rFonts w:ascii="Arial,Bold" w:hAnsi="Arial,Bold"/>
                <w:color w:val="000000" w:themeColor="text1"/>
              </w:rPr>
            </w:pPr>
            <w:r>
              <w:rPr>
                <w:rFonts w:ascii="Arial,Bold" w:hAnsi="Arial,Bold"/>
                <w:color w:val="000000" w:themeColor="text1"/>
              </w:rPr>
              <w:t>6</w:t>
            </w:r>
          </w:p>
        </w:tc>
      </w:tr>
      <w:tr w:rsidR="007C0FED" w14:paraId="00F34E4C" w14:textId="77777777" w:rsidTr="001149C3">
        <w:tc>
          <w:tcPr>
            <w:tcW w:w="5949" w:type="dxa"/>
            <w:tcBorders>
              <w:top w:val="single" w:sz="4" w:space="0" w:color="auto"/>
              <w:left w:val="single" w:sz="4" w:space="0" w:color="auto"/>
              <w:bottom w:val="single" w:sz="4" w:space="0" w:color="auto"/>
              <w:right w:val="nil"/>
            </w:tcBorders>
          </w:tcPr>
          <w:p w14:paraId="49C49E62" w14:textId="77777777" w:rsidR="007C0FED" w:rsidRPr="00422449" w:rsidRDefault="007C0FED" w:rsidP="00DE4BAF">
            <w:pPr>
              <w:pStyle w:val="NormalWeb"/>
              <w:spacing w:before="120" w:beforeAutospacing="0" w:after="120" w:afterAutospacing="0" w:line="276" w:lineRule="auto"/>
              <w:rPr>
                <w:rFonts w:ascii="Arial,Bold" w:hAnsi="Arial,Bold"/>
                <w:color w:val="000000" w:themeColor="text1"/>
              </w:rPr>
            </w:pPr>
            <w:r>
              <w:rPr>
                <w:rFonts w:ascii="Arial,Bold" w:hAnsi="Arial,Bold"/>
                <w:color w:val="000000" w:themeColor="text1"/>
              </w:rPr>
              <w:t>Canada</w:t>
            </w:r>
          </w:p>
        </w:tc>
        <w:tc>
          <w:tcPr>
            <w:tcW w:w="1701" w:type="dxa"/>
            <w:tcBorders>
              <w:top w:val="single" w:sz="4" w:space="0" w:color="auto"/>
              <w:left w:val="nil"/>
              <w:bottom w:val="single" w:sz="4" w:space="0" w:color="auto"/>
              <w:right w:val="single" w:sz="4" w:space="0" w:color="auto"/>
            </w:tcBorders>
          </w:tcPr>
          <w:p w14:paraId="16FCF297" w14:textId="77777777" w:rsidR="007C0FED" w:rsidRPr="00422449" w:rsidRDefault="007C0FED" w:rsidP="00DE4BAF">
            <w:pPr>
              <w:pStyle w:val="NormalWeb"/>
              <w:spacing w:before="120" w:beforeAutospacing="0" w:after="120" w:afterAutospacing="0" w:line="276" w:lineRule="auto"/>
              <w:jc w:val="center"/>
              <w:rPr>
                <w:rFonts w:ascii="Arial,Bold" w:hAnsi="Arial,Bold"/>
                <w:color w:val="000000" w:themeColor="text1"/>
              </w:rPr>
            </w:pPr>
            <w:r w:rsidRPr="00422449">
              <w:rPr>
                <w:rFonts w:ascii="Arial,Bold" w:hAnsi="Arial,Bold"/>
                <w:color w:val="000000" w:themeColor="text1"/>
              </w:rPr>
              <w:t>1</w:t>
            </w:r>
          </w:p>
        </w:tc>
      </w:tr>
      <w:tr w:rsidR="007C0FED" w14:paraId="7E2DA1F3" w14:textId="77777777" w:rsidTr="001149C3">
        <w:tc>
          <w:tcPr>
            <w:tcW w:w="5949" w:type="dxa"/>
            <w:tcBorders>
              <w:top w:val="single" w:sz="4" w:space="0" w:color="auto"/>
              <w:left w:val="single" w:sz="4" w:space="0" w:color="auto"/>
              <w:bottom w:val="single" w:sz="4" w:space="0" w:color="auto"/>
              <w:right w:val="nil"/>
            </w:tcBorders>
          </w:tcPr>
          <w:p w14:paraId="110F5902" w14:textId="77777777" w:rsidR="007C0FED" w:rsidRDefault="007C0FED" w:rsidP="00DE4BAF">
            <w:pPr>
              <w:pStyle w:val="NormalWeb"/>
              <w:spacing w:before="120" w:beforeAutospacing="0" w:after="120" w:afterAutospacing="0" w:line="276" w:lineRule="auto"/>
              <w:rPr>
                <w:rFonts w:ascii="Arial,Bold" w:hAnsi="Arial,Bold"/>
                <w:color w:val="000000" w:themeColor="text1"/>
              </w:rPr>
            </w:pPr>
            <w:r>
              <w:rPr>
                <w:rFonts w:ascii="Arial,Bold" w:hAnsi="Arial,Bold"/>
                <w:color w:val="000000" w:themeColor="text1"/>
              </w:rPr>
              <w:t>Holland</w:t>
            </w:r>
          </w:p>
        </w:tc>
        <w:tc>
          <w:tcPr>
            <w:tcW w:w="1701" w:type="dxa"/>
            <w:tcBorders>
              <w:top w:val="single" w:sz="4" w:space="0" w:color="auto"/>
              <w:left w:val="nil"/>
              <w:bottom w:val="single" w:sz="4" w:space="0" w:color="auto"/>
              <w:right w:val="single" w:sz="4" w:space="0" w:color="auto"/>
            </w:tcBorders>
          </w:tcPr>
          <w:p w14:paraId="14D65954" w14:textId="77777777" w:rsidR="007C0FED" w:rsidRPr="00422449" w:rsidRDefault="007C0FED" w:rsidP="00DE4BAF">
            <w:pPr>
              <w:pStyle w:val="NormalWeb"/>
              <w:spacing w:before="120" w:beforeAutospacing="0" w:after="120" w:afterAutospacing="0" w:line="276" w:lineRule="auto"/>
              <w:jc w:val="center"/>
              <w:rPr>
                <w:rFonts w:ascii="Arial,Bold" w:hAnsi="Arial,Bold"/>
                <w:color w:val="000000" w:themeColor="text1"/>
              </w:rPr>
            </w:pPr>
            <w:r>
              <w:rPr>
                <w:rFonts w:ascii="Arial,Bold" w:hAnsi="Arial,Bold"/>
                <w:color w:val="000000" w:themeColor="text1"/>
              </w:rPr>
              <w:t>1</w:t>
            </w:r>
          </w:p>
        </w:tc>
      </w:tr>
      <w:tr w:rsidR="007C0FED" w14:paraId="26E99682" w14:textId="77777777" w:rsidTr="001149C3">
        <w:tc>
          <w:tcPr>
            <w:tcW w:w="5949" w:type="dxa"/>
            <w:tcBorders>
              <w:top w:val="single" w:sz="4" w:space="0" w:color="auto"/>
              <w:left w:val="single" w:sz="4" w:space="0" w:color="auto"/>
              <w:bottom w:val="single" w:sz="4" w:space="0" w:color="auto"/>
              <w:right w:val="nil"/>
            </w:tcBorders>
          </w:tcPr>
          <w:p w14:paraId="37AAD2D6" w14:textId="77777777" w:rsidR="007C0FED" w:rsidRDefault="007C0FED" w:rsidP="00DE4BAF">
            <w:pPr>
              <w:pStyle w:val="NormalWeb"/>
              <w:spacing w:before="120" w:beforeAutospacing="0" w:after="120" w:afterAutospacing="0" w:line="276" w:lineRule="auto"/>
              <w:rPr>
                <w:rFonts w:ascii="Arial,Bold" w:hAnsi="Arial,Bold"/>
                <w:color w:val="000000" w:themeColor="text1"/>
              </w:rPr>
            </w:pPr>
            <w:r>
              <w:rPr>
                <w:rFonts w:ascii="Arial,Bold" w:hAnsi="Arial,Bold"/>
                <w:color w:val="000000" w:themeColor="text1"/>
              </w:rPr>
              <w:t>Italy</w:t>
            </w:r>
          </w:p>
        </w:tc>
        <w:tc>
          <w:tcPr>
            <w:tcW w:w="1701" w:type="dxa"/>
            <w:tcBorders>
              <w:top w:val="single" w:sz="4" w:space="0" w:color="auto"/>
              <w:left w:val="nil"/>
              <w:bottom w:val="single" w:sz="4" w:space="0" w:color="auto"/>
              <w:right w:val="single" w:sz="4" w:space="0" w:color="auto"/>
            </w:tcBorders>
          </w:tcPr>
          <w:p w14:paraId="2F673F06" w14:textId="77777777" w:rsidR="007C0FED" w:rsidRPr="00422449" w:rsidRDefault="007C0FED" w:rsidP="00DE4BAF">
            <w:pPr>
              <w:pStyle w:val="NormalWeb"/>
              <w:spacing w:before="120" w:beforeAutospacing="0" w:after="120" w:afterAutospacing="0" w:line="276" w:lineRule="auto"/>
              <w:jc w:val="center"/>
              <w:rPr>
                <w:rFonts w:ascii="Arial,Bold" w:hAnsi="Arial,Bold"/>
                <w:color w:val="000000" w:themeColor="text1"/>
              </w:rPr>
            </w:pPr>
            <w:r>
              <w:rPr>
                <w:rFonts w:ascii="Arial,Bold" w:hAnsi="Arial,Bold"/>
                <w:color w:val="000000" w:themeColor="text1"/>
              </w:rPr>
              <w:t>1</w:t>
            </w:r>
          </w:p>
        </w:tc>
      </w:tr>
      <w:tr w:rsidR="007C0FED" w14:paraId="127000D7" w14:textId="77777777" w:rsidTr="001149C3">
        <w:tc>
          <w:tcPr>
            <w:tcW w:w="5949" w:type="dxa"/>
            <w:tcBorders>
              <w:top w:val="single" w:sz="4" w:space="0" w:color="auto"/>
              <w:left w:val="single" w:sz="4" w:space="0" w:color="auto"/>
              <w:bottom w:val="single" w:sz="4" w:space="0" w:color="auto"/>
              <w:right w:val="nil"/>
            </w:tcBorders>
          </w:tcPr>
          <w:p w14:paraId="6A3FBE15" w14:textId="77777777" w:rsidR="007C0FED" w:rsidRDefault="007C0FED" w:rsidP="00DE4BAF">
            <w:pPr>
              <w:pStyle w:val="NormalWeb"/>
              <w:spacing w:before="120" w:beforeAutospacing="0" w:after="120" w:afterAutospacing="0" w:line="276" w:lineRule="auto"/>
              <w:rPr>
                <w:rFonts w:ascii="Arial,Bold" w:hAnsi="Arial,Bold"/>
                <w:color w:val="000000" w:themeColor="text1"/>
              </w:rPr>
            </w:pPr>
            <w:r>
              <w:rPr>
                <w:rFonts w:ascii="Arial,Bold" w:hAnsi="Arial,Bold"/>
                <w:color w:val="000000" w:themeColor="text1"/>
              </w:rPr>
              <w:t>UK</w:t>
            </w:r>
          </w:p>
        </w:tc>
        <w:tc>
          <w:tcPr>
            <w:tcW w:w="1701" w:type="dxa"/>
            <w:tcBorders>
              <w:top w:val="single" w:sz="4" w:space="0" w:color="auto"/>
              <w:left w:val="nil"/>
              <w:bottom w:val="single" w:sz="4" w:space="0" w:color="auto"/>
              <w:right w:val="single" w:sz="4" w:space="0" w:color="auto"/>
            </w:tcBorders>
          </w:tcPr>
          <w:p w14:paraId="2A6C290F" w14:textId="77777777" w:rsidR="007C0FED" w:rsidRPr="00422449" w:rsidRDefault="007C0FED" w:rsidP="00DE4BAF">
            <w:pPr>
              <w:pStyle w:val="NormalWeb"/>
              <w:spacing w:before="120" w:beforeAutospacing="0" w:after="120" w:afterAutospacing="0" w:line="276" w:lineRule="auto"/>
              <w:jc w:val="center"/>
              <w:rPr>
                <w:rFonts w:ascii="Arial,Bold" w:hAnsi="Arial,Bold"/>
                <w:color w:val="000000" w:themeColor="text1"/>
              </w:rPr>
            </w:pPr>
            <w:r>
              <w:rPr>
                <w:rFonts w:ascii="Arial,Bold" w:hAnsi="Arial,Bold"/>
                <w:color w:val="000000" w:themeColor="text1"/>
              </w:rPr>
              <w:t>4</w:t>
            </w:r>
          </w:p>
        </w:tc>
      </w:tr>
      <w:tr w:rsidR="007C0FED" w14:paraId="3027AA04" w14:textId="77777777" w:rsidTr="001149C3">
        <w:tc>
          <w:tcPr>
            <w:tcW w:w="5949" w:type="dxa"/>
            <w:tcBorders>
              <w:top w:val="single" w:sz="4" w:space="0" w:color="auto"/>
              <w:left w:val="single" w:sz="4" w:space="0" w:color="auto"/>
              <w:bottom w:val="single" w:sz="4" w:space="0" w:color="auto"/>
              <w:right w:val="nil"/>
            </w:tcBorders>
          </w:tcPr>
          <w:p w14:paraId="6DDCEA28" w14:textId="77777777" w:rsidR="007C0FED" w:rsidRPr="00422449" w:rsidRDefault="007C0FED" w:rsidP="00DE4BAF">
            <w:pPr>
              <w:pStyle w:val="NormalWeb"/>
              <w:spacing w:before="120" w:beforeAutospacing="0" w:after="120" w:afterAutospacing="0" w:line="276" w:lineRule="auto"/>
              <w:rPr>
                <w:rFonts w:ascii="Arial,Bold" w:hAnsi="Arial,Bold"/>
                <w:b/>
                <w:bCs/>
                <w:color w:val="000000" w:themeColor="text1"/>
              </w:rPr>
            </w:pPr>
            <w:r w:rsidRPr="00422449">
              <w:rPr>
                <w:rFonts w:ascii="Arial,Bold" w:hAnsi="Arial,Bold"/>
                <w:b/>
                <w:bCs/>
                <w:color w:val="000000" w:themeColor="text1"/>
              </w:rPr>
              <w:t>Total</w:t>
            </w:r>
          </w:p>
        </w:tc>
        <w:tc>
          <w:tcPr>
            <w:tcW w:w="1701" w:type="dxa"/>
            <w:tcBorders>
              <w:top w:val="single" w:sz="4" w:space="0" w:color="auto"/>
              <w:left w:val="nil"/>
              <w:bottom w:val="single" w:sz="4" w:space="0" w:color="auto"/>
              <w:right w:val="single" w:sz="4" w:space="0" w:color="auto"/>
            </w:tcBorders>
          </w:tcPr>
          <w:p w14:paraId="4F0FE742" w14:textId="77777777" w:rsidR="007C0FED" w:rsidRPr="00422449" w:rsidRDefault="007C0FED" w:rsidP="00DE4BAF">
            <w:pPr>
              <w:pStyle w:val="NormalWeb"/>
              <w:spacing w:before="120" w:beforeAutospacing="0" w:after="120" w:afterAutospacing="0" w:line="276" w:lineRule="auto"/>
              <w:jc w:val="center"/>
              <w:rPr>
                <w:rFonts w:ascii="Arial,Bold" w:hAnsi="Arial,Bold"/>
                <w:color w:val="000000" w:themeColor="text1"/>
              </w:rPr>
            </w:pPr>
            <w:r>
              <w:rPr>
                <w:rFonts w:ascii="Arial,Bold" w:hAnsi="Arial,Bold"/>
                <w:color w:val="000000" w:themeColor="text1"/>
              </w:rPr>
              <w:t>13</w:t>
            </w:r>
          </w:p>
        </w:tc>
      </w:tr>
    </w:tbl>
    <w:p w14:paraId="7CB22986" w14:textId="77777777" w:rsidR="007C0FED" w:rsidRPr="00B748E3" w:rsidRDefault="007C0FED" w:rsidP="00DE4BAF">
      <w:pPr>
        <w:pStyle w:val="DocMgmtSubhead"/>
        <w:spacing w:line="276" w:lineRule="auto"/>
        <w:rPr>
          <w:rFonts w:cs="Arial"/>
          <w:b w:val="0"/>
          <w:bCs/>
          <w:color w:val="1C2640"/>
          <w:sz w:val="24"/>
          <w:szCs w:val="24"/>
        </w:rPr>
      </w:pPr>
    </w:p>
    <w:p w14:paraId="59F00439" w14:textId="55CF0928" w:rsidR="007C0FED" w:rsidRPr="00B748E3" w:rsidRDefault="007C0FED" w:rsidP="00DE4BAF">
      <w:pPr>
        <w:pStyle w:val="DocMgmtSubhead"/>
        <w:spacing w:line="276" w:lineRule="auto"/>
        <w:rPr>
          <w:rFonts w:cs="Arial"/>
          <w:b w:val="0"/>
          <w:bCs/>
          <w:color w:val="000000" w:themeColor="text1"/>
          <w:sz w:val="24"/>
          <w:szCs w:val="24"/>
        </w:rPr>
      </w:pPr>
      <w:r w:rsidRPr="00B748E3">
        <w:rPr>
          <w:rFonts w:cs="Arial"/>
          <w:b w:val="0"/>
          <w:bCs/>
          <w:color w:val="1C2640"/>
          <w:sz w:val="24"/>
          <w:szCs w:val="24"/>
        </w:rPr>
        <w:t>Selected output from the consultation calls, in the form of the quotes used to inform the guidance, can be found i</w:t>
      </w:r>
      <w:r w:rsidR="00F92A62">
        <w:rPr>
          <w:rFonts w:cs="Arial"/>
          <w:b w:val="0"/>
          <w:bCs/>
          <w:color w:val="1C2640"/>
          <w:sz w:val="24"/>
          <w:szCs w:val="24"/>
        </w:rPr>
        <w:t xml:space="preserve">n appendix E (separate document). </w:t>
      </w:r>
      <w:r w:rsidRPr="00B748E3">
        <w:rPr>
          <w:rFonts w:cs="Arial"/>
          <w:b w:val="0"/>
          <w:bCs/>
          <w:color w:val="000000" w:themeColor="text1"/>
          <w:sz w:val="24"/>
          <w:szCs w:val="24"/>
        </w:rPr>
        <w:t>Call attendees are listed i</w:t>
      </w:r>
      <w:r w:rsidR="00F92A62">
        <w:rPr>
          <w:rFonts w:cs="Arial"/>
          <w:b w:val="0"/>
          <w:bCs/>
          <w:color w:val="000000" w:themeColor="text1"/>
          <w:sz w:val="24"/>
          <w:szCs w:val="24"/>
        </w:rPr>
        <w:t xml:space="preserve">n appendix B (separate document). </w:t>
      </w:r>
    </w:p>
    <w:p w14:paraId="67DED300" w14:textId="77777777" w:rsidR="007C0FED" w:rsidRDefault="007C0FED" w:rsidP="00DE4BAF">
      <w:pPr>
        <w:pStyle w:val="Heading2"/>
        <w:numPr>
          <w:ilvl w:val="1"/>
          <w:numId w:val="42"/>
        </w:numPr>
        <w:spacing w:line="276" w:lineRule="auto"/>
        <w:ind w:hanging="792"/>
        <w:rPr>
          <w:rFonts w:ascii="Arial" w:hAnsi="Arial" w:cs="Arial"/>
          <w:color w:val="0070C0"/>
          <w:sz w:val="36"/>
          <w:szCs w:val="36"/>
        </w:rPr>
      </w:pPr>
      <w:bookmarkStart w:id="25" w:name="_Toc31493986"/>
      <w:bookmarkStart w:id="26" w:name="_Toc32874670"/>
      <w:bookmarkStart w:id="27" w:name="_Toc32874811"/>
      <w:r w:rsidRPr="00404983">
        <w:rPr>
          <w:rFonts w:ascii="Arial" w:hAnsi="Arial" w:cs="Arial"/>
          <w:color w:val="0070C0"/>
          <w:sz w:val="36"/>
          <w:szCs w:val="36"/>
        </w:rPr>
        <w:t>Phase two methods – Developing the guidance</w:t>
      </w:r>
      <w:bookmarkEnd w:id="25"/>
      <w:bookmarkEnd w:id="26"/>
      <w:bookmarkEnd w:id="27"/>
    </w:p>
    <w:p w14:paraId="6A518E19" w14:textId="77777777" w:rsidR="007C0FED" w:rsidRPr="00404983" w:rsidRDefault="007C0FED" w:rsidP="00DE4BAF">
      <w:pPr>
        <w:spacing w:line="276" w:lineRule="auto"/>
      </w:pPr>
    </w:p>
    <w:p w14:paraId="55C552E3" w14:textId="77777777" w:rsidR="007C0FED" w:rsidRPr="004D27A3" w:rsidRDefault="007C0FED" w:rsidP="00DE4BAF">
      <w:pPr>
        <w:pStyle w:val="Heading3"/>
        <w:numPr>
          <w:ilvl w:val="2"/>
          <w:numId w:val="42"/>
        </w:numPr>
        <w:spacing w:line="276" w:lineRule="auto"/>
        <w:ind w:hanging="1224"/>
        <w:rPr>
          <w:rFonts w:ascii="Arial" w:hAnsi="Arial" w:cs="Arial"/>
          <w:color w:val="0070C0"/>
          <w:sz w:val="28"/>
          <w:szCs w:val="28"/>
        </w:rPr>
      </w:pPr>
      <w:bookmarkStart w:id="28" w:name="_Toc31493987"/>
      <w:bookmarkStart w:id="29" w:name="_Toc32874671"/>
      <w:bookmarkStart w:id="30" w:name="_Toc32874812"/>
      <w:r w:rsidRPr="004D27A3">
        <w:rPr>
          <w:rFonts w:ascii="Arial" w:hAnsi="Arial" w:cs="Arial"/>
          <w:color w:val="0070C0"/>
          <w:sz w:val="28"/>
          <w:szCs w:val="28"/>
        </w:rPr>
        <w:t xml:space="preserve">PRSB </w:t>
      </w:r>
      <w:r>
        <w:rPr>
          <w:rFonts w:ascii="Arial" w:hAnsi="Arial" w:cs="Arial"/>
          <w:color w:val="0070C0"/>
          <w:sz w:val="28"/>
          <w:szCs w:val="28"/>
        </w:rPr>
        <w:t>a</w:t>
      </w:r>
      <w:r w:rsidRPr="004D27A3">
        <w:rPr>
          <w:rFonts w:ascii="Arial" w:hAnsi="Arial" w:cs="Arial"/>
          <w:color w:val="0070C0"/>
          <w:sz w:val="28"/>
          <w:szCs w:val="28"/>
        </w:rPr>
        <w:t xml:space="preserve">dvisory </w:t>
      </w:r>
      <w:r>
        <w:rPr>
          <w:rFonts w:ascii="Arial" w:hAnsi="Arial" w:cs="Arial"/>
          <w:color w:val="0070C0"/>
          <w:sz w:val="28"/>
          <w:szCs w:val="28"/>
        </w:rPr>
        <w:t>b</w:t>
      </w:r>
      <w:r w:rsidRPr="004D27A3">
        <w:rPr>
          <w:rFonts w:ascii="Arial" w:hAnsi="Arial" w:cs="Arial"/>
          <w:color w:val="0070C0"/>
          <w:sz w:val="28"/>
          <w:szCs w:val="28"/>
        </w:rPr>
        <w:t>oard</w:t>
      </w:r>
      <w:bookmarkEnd w:id="28"/>
      <w:bookmarkEnd w:id="29"/>
      <w:bookmarkEnd w:id="30"/>
    </w:p>
    <w:p w14:paraId="0E09A755" w14:textId="5E73CA8A" w:rsidR="007C0FED" w:rsidRPr="00B748E3" w:rsidRDefault="007C0FED" w:rsidP="00DE4BAF">
      <w:pPr>
        <w:pStyle w:val="NormalWeb"/>
        <w:spacing w:line="276" w:lineRule="auto"/>
        <w:rPr>
          <w:rFonts w:ascii="Arial" w:hAnsi="Arial" w:cs="Arial"/>
          <w:color w:val="000000" w:themeColor="text1"/>
        </w:rPr>
      </w:pPr>
      <w:r w:rsidRPr="00B748E3">
        <w:rPr>
          <w:rFonts w:ascii="Arial" w:hAnsi="Arial" w:cs="Arial"/>
          <w:color w:val="000000" w:themeColor="text1"/>
        </w:rPr>
        <w:t>A consultation session was held at the PRSB Advisory Board meeting on the 24</w:t>
      </w:r>
      <w:r w:rsidRPr="00B748E3">
        <w:rPr>
          <w:rFonts w:ascii="Arial" w:hAnsi="Arial" w:cs="Arial"/>
          <w:color w:val="000000" w:themeColor="text1"/>
          <w:vertAlign w:val="superscript"/>
        </w:rPr>
        <w:t>th</w:t>
      </w:r>
      <w:r w:rsidRPr="00B748E3">
        <w:rPr>
          <w:rFonts w:ascii="Arial" w:hAnsi="Arial" w:cs="Arial"/>
          <w:color w:val="000000" w:themeColor="text1"/>
        </w:rPr>
        <w:t xml:space="preserve"> October 2019. The advisory board represents a broad range of professional expertise and includes several experts in health informatics as well as patient groups. The discussion in the meeting included feedback on the preliminary findings of the consultation to help inform development of the draft guidance. </w:t>
      </w:r>
      <w:r w:rsidRPr="00B748E3">
        <w:rPr>
          <w:rFonts w:ascii="Arial" w:hAnsi="Arial" w:cs="Arial"/>
          <w:color w:val="1C2640"/>
        </w:rPr>
        <w:t xml:space="preserve">Selected output </w:t>
      </w:r>
      <w:r w:rsidRPr="00B748E3">
        <w:rPr>
          <w:rFonts w:ascii="Arial" w:hAnsi="Arial" w:cs="Arial"/>
          <w:color w:val="1C2640"/>
        </w:rPr>
        <w:lastRenderedPageBreak/>
        <w:t>from the Advisory Board meeting, in the form of quotes, can be found i</w:t>
      </w:r>
      <w:r w:rsidR="00F92A62">
        <w:rPr>
          <w:rFonts w:ascii="Arial" w:hAnsi="Arial" w:cs="Arial"/>
          <w:color w:val="1C2640"/>
        </w:rPr>
        <w:t xml:space="preserve">n appendix E (separate document), </w:t>
      </w:r>
      <w:r w:rsidRPr="00B748E3">
        <w:rPr>
          <w:rFonts w:ascii="Arial" w:hAnsi="Arial" w:cs="Arial"/>
          <w:color w:val="000000" w:themeColor="text1"/>
        </w:rPr>
        <w:t xml:space="preserve">labelled as ‘ABD’ in parentheses.  </w:t>
      </w:r>
    </w:p>
    <w:p w14:paraId="23652BB1" w14:textId="77777777" w:rsidR="007C0FED" w:rsidRPr="004D27A3" w:rsidRDefault="007C0FED" w:rsidP="00DE4BAF">
      <w:pPr>
        <w:pStyle w:val="Heading3"/>
        <w:numPr>
          <w:ilvl w:val="2"/>
          <w:numId w:val="42"/>
        </w:numPr>
        <w:spacing w:line="276" w:lineRule="auto"/>
        <w:ind w:hanging="1224"/>
        <w:rPr>
          <w:rFonts w:ascii="Arial" w:hAnsi="Arial" w:cs="Arial"/>
          <w:color w:val="0070C0"/>
          <w:sz w:val="28"/>
          <w:szCs w:val="28"/>
        </w:rPr>
      </w:pPr>
      <w:bookmarkStart w:id="31" w:name="_Toc31493988"/>
      <w:bookmarkStart w:id="32" w:name="_Toc32874672"/>
      <w:bookmarkStart w:id="33" w:name="_Toc32874813"/>
      <w:r w:rsidRPr="004D27A3">
        <w:rPr>
          <w:rFonts w:ascii="Arial" w:hAnsi="Arial" w:cs="Arial"/>
          <w:color w:val="0070C0"/>
          <w:sz w:val="28"/>
          <w:szCs w:val="28"/>
        </w:rPr>
        <w:t xml:space="preserve">Consultation </w:t>
      </w:r>
      <w:r>
        <w:rPr>
          <w:rFonts w:ascii="Arial" w:hAnsi="Arial" w:cs="Arial"/>
          <w:color w:val="0070C0"/>
          <w:sz w:val="28"/>
          <w:szCs w:val="28"/>
        </w:rPr>
        <w:t>s</w:t>
      </w:r>
      <w:r w:rsidRPr="004D27A3">
        <w:rPr>
          <w:rFonts w:ascii="Arial" w:hAnsi="Arial" w:cs="Arial"/>
          <w:color w:val="0070C0"/>
          <w:sz w:val="28"/>
          <w:szCs w:val="28"/>
        </w:rPr>
        <w:t>urvey</w:t>
      </w:r>
      <w:bookmarkEnd w:id="31"/>
      <w:bookmarkEnd w:id="32"/>
      <w:bookmarkEnd w:id="33"/>
    </w:p>
    <w:p w14:paraId="7B49E789" w14:textId="77777777" w:rsidR="007C0FED" w:rsidRPr="00B748E3" w:rsidRDefault="007C0FED" w:rsidP="00DE4BAF">
      <w:pPr>
        <w:pStyle w:val="NormalWeb"/>
        <w:spacing w:before="240" w:line="276" w:lineRule="auto"/>
        <w:rPr>
          <w:rFonts w:ascii="Arial" w:hAnsi="Arial" w:cs="Arial"/>
          <w:color w:val="000000" w:themeColor="text1"/>
        </w:rPr>
      </w:pPr>
      <w:r w:rsidRPr="00B748E3">
        <w:rPr>
          <w:rFonts w:ascii="Arial" w:hAnsi="Arial" w:cs="Arial"/>
          <w:color w:val="000000" w:themeColor="text1"/>
        </w:rPr>
        <w:t>A consultation survey was sent to Advisory Board members following the meeting. It was conducted in the format of a question and answer questionnaire, via an online survey platform (SurveyMonkey</w:t>
      </w:r>
      <w:r w:rsidRPr="00B748E3">
        <w:rPr>
          <w:rFonts w:ascii="Arial" w:hAnsi="Arial" w:cs="Arial"/>
          <w:b/>
          <w:bCs/>
          <w:color w:val="1C2640"/>
        </w:rPr>
        <w:t>®</w:t>
      </w:r>
      <w:r w:rsidRPr="00B748E3">
        <w:rPr>
          <w:rFonts w:ascii="Arial" w:hAnsi="Arial" w:cs="Arial"/>
          <w:color w:val="1C2640"/>
        </w:rPr>
        <w:t xml:space="preserve">); see output below. </w:t>
      </w:r>
      <w:r w:rsidRPr="00B748E3">
        <w:rPr>
          <w:rFonts w:ascii="Arial" w:hAnsi="Arial" w:cs="Arial"/>
          <w:color w:val="000000" w:themeColor="text1"/>
        </w:rPr>
        <w:t>Data was collected between the 6</w:t>
      </w:r>
      <w:r w:rsidRPr="00B748E3">
        <w:rPr>
          <w:rFonts w:ascii="Arial" w:hAnsi="Arial" w:cs="Arial"/>
          <w:color w:val="000000" w:themeColor="text1"/>
          <w:vertAlign w:val="superscript"/>
        </w:rPr>
        <w:t>th</w:t>
      </w:r>
      <w:r w:rsidRPr="00B748E3">
        <w:rPr>
          <w:rFonts w:ascii="Arial" w:hAnsi="Arial" w:cs="Arial"/>
          <w:color w:val="000000" w:themeColor="text1"/>
        </w:rPr>
        <w:t xml:space="preserve"> – 25</w:t>
      </w:r>
      <w:r w:rsidRPr="00B748E3">
        <w:rPr>
          <w:rFonts w:ascii="Arial" w:hAnsi="Arial" w:cs="Arial"/>
          <w:color w:val="000000" w:themeColor="text1"/>
          <w:vertAlign w:val="superscript"/>
        </w:rPr>
        <w:t>th</w:t>
      </w:r>
      <w:r w:rsidRPr="00B748E3">
        <w:rPr>
          <w:rFonts w:ascii="Arial" w:hAnsi="Arial" w:cs="Arial"/>
          <w:color w:val="000000" w:themeColor="text1"/>
        </w:rPr>
        <w:t xml:space="preserve"> November 2019. The survey consisted of example scenarios involving a clinical vignette with an example of a pharmacogenomic alert; followed by six questions for prescribers and a different set of five questions for non-prescribers. Qualitative responses were given as free-form text. </w:t>
      </w:r>
    </w:p>
    <w:p w14:paraId="5D44627C" w14:textId="77777777" w:rsidR="007C0FED" w:rsidRPr="00B748E3" w:rsidRDefault="007C0FED" w:rsidP="00DE4BAF">
      <w:pPr>
        <w:pStyle w:val="NormalWeb"/>
        <w:spacing w:before="240" w:line="276" w:lineRule="auto"/>
        <w:rPr>
          <w:rFonts w:ascii="Arial" w:hAnsi="Arial" w:cs="Arial"/>
          <w:color w:val="000000" w:themeColor="text1"/>
        </w:rPr>
      </w:pPr>
      <w:r w:rsidRPr="00B748E3">
        <w:rPr>
          <w:rFonts w:ascii="Arial" w:hAnsi="Arial" w:cs="Arial"/>
          <w:color w:val="000000" w:themeColor="text1"/>
        </w:rPr>
        <w:t xml:space="preserve">The number of completed responses to the survey was limited, but a diverse range of professions was represented (Table 4), with a balance of prescribers and non-prescribers (Table 3). 19 of the respondents were based in either England (n=5), Scotland (n=14) or Wales (n=1) and 6 were unknown; there were no recorded representatives from Northern Ireland. </w:t>
      </w:r>
    </w:p>
    <w:p w14:paraId="238328A8" w14:textId="77777777" w:rsidR="007C0FED" w:rsidRPr="00B748E3" w:rsidRDefault="007C0FED" w:rsidP="00DE4BAF">
      <w:pPr>
        <w:pStyle w:val="NormalWeb"/>
        <w:spacing w:before="240" w:line="276" w:lineRule="auto"/>
        <w:rPr>
          <w:rFonts w:ascii="Arial" w:hAnsi="Arial" w:cs="Arial"/>
          <w:color w:val="000000" w:themeColor="text1"/>
        </w:rPr>
      </w:pPr>
      <w:r w:rsidRPr="00B748E3">
        <w:rPr>
          <w:rFonts w:ascii="Arial" w:hAnsi="Arial" w:cs="Arial"/>
          <w:color w:val="000000" w:themeColor="text1"/>
        </w:rPr>
        <w:t>Table 3. Number of people who accessed and reviewed the survey</w:t>
      </w:r>
    </w:p>
    <w:tbl>
      <w:tblPr>
        <w:tblStyle w:val="TableGrid"/>
        <w:tblW w:w="0" w:type="auto"/>
        <w:tblLook w:val="04A0" w:firstRow="1" w:lastRow="0" w:firstColumn="1" w:lastColumn="0" w:noHBand="0" w:noVBand="1"/>
      </w:tblPr>
      <w:tblGrid>
        <w:gridCol w:w="6374"/>
        <w:gridCol w:w="1276"/>
        <w:gridCol w:w="1360"/>
      </w:tblGrid>
      <w:tr w:rsidR="007C0FED" w14:paraId="27297959" w14:textId="77777777" w:rsidTr="001149C3">
        <w:tc>
          <w:tcPr>
            <w:tcW w:w="6374" w:type="dxa"/>
            <w:tcBorders>
              <w:bottom w:val="single" w:sz="4" w:space="0" w:color="auto"/>
            </w:tcBorders>
            <w:shd w:val="clear" w:color="auto" w:fill="1072BD"/>
          </w:tcPr>
          <w:p w14:paraId="79BB874D" w14:textId="77777777" w:rsidR="007C0FED" w:rsidRPr="00422449" w:rsidRDefault="007C0FED" w:rsidP="00DE4BAF">
            <w:pPr>
              <w:pStyle w:val="NormalWeb"/>
              <w:spacing w:before="120" w:beforeAutospacing="0" w:after="120" w:afterAutospacing="0" w:line="276" w:lineRule="auto"/>
              <w:rPr>
                <w:rFonts w:ascii="Arial,Bold" w:hAnsi="Arial,Bold"/>
                <w:color w:val="000000" w:themeColor="text1"/>
              </w:rPr>
            </w:pPr>
          </w:p>
        </w:tc>
        <w:tc>
          <w:tcPr>
            <w:tcW w:w="1276" w:type="dxa"/>
            <w:tcBorders>
              <w:bottom w:val="single" w:sz="4" w:space="0" w:color="auto"/>
            </w:tcBorders>
            <w:shd w:val="clear" w:color="auto" w:fill="1072BD"/>
          </w:tcPr>
          <w:p w14:paraId="2A427FBF" w14:textId="77777777" w:rsidR="007C0FED" w:rsidRPr="00422449" w:rsidRDefault="007C0FED" w:rsidP="00DE4BAF">
            <w:pPr>
              <w:pStyle w:val="NormalWeb"/>
              <w:spacing w:before="120" w:beforeAutospacing="0" w:after="120" w:afterAutospacing="0" w:line="276" w:lineRule="auto"/>
              <w:jc w:val="center"/>
              <w:rPr>
                <w:rFonts w:ascii="Arial,Bold" w:hAnsi="Arial,Bold"/>
                <w:color w:val="FFFFFF" w:themeColor="background1"/>
              </w:rPr>
            </w:pPr>
            <w:r w:rsidRPr="00422449">
              <w:rPr>
                <w:rFonts w:ascii="Arial,Bold" w:hAnsi="Arial,Bold"/>
                <w:color w:val="FFFFFF" w:themeColor="background1"/>
              </w:rPr>
              <w:t>n</w:t>
            </w:r>
          </w:p>
        </w:tc>
        <w:tc>
          <w:tcPr>
            <w:tcW w:w="1360" w:type="dxa"/>
            <w:tcBorders>
              <w:bottom w:val="single" w:sz="4" w:space="0" w:color="auto"/>
            </w:tcBorders>
            <w:shd w:val="clear" w:color="auto" w:fill="1072BD"/>
          </w:tcPr>
          <w:p w14:paraId="542B9615" w14:textId="77777777" w:rsidR="007C0FED" w:rsidRPr="00422449" w:rsidRDefault="007C0FED" w:rsidP="00DE4BAF">
            <w:pPr>
              <w:pStyle w:val="NormalWeb"/>
              <w:spacing w:before="120" w:beforeAutospacing="0" w:after="120" w:afterAutospacing="0" w:line="276" w:lineRule="auto"/>
              <w:jc w:val="center"/>
              <w:rPr>
                <w:rFonts w:ascii="Arial,Bold" w:hAnsi="Arial,Bold"/>
                <w:color w:val="FFFFFF" w:themeColor="background1"/>
              </w:rPr>
            </w:pPr>
            <w:r w:rsidRPr="00422449">
              <w:rPr>
                <w:rFonts w:ascii="Arial,Bold" w:hAnsi="Arial,Bold"/>
                <w:color w:val="FFFFFF" w:themeColor="background1"/>
              </w:rPr>
              <w:t>%</w:t>
            </w:r>
          </w:p>
        </w:tc>
      </w:tr>
      <w:tr w:rsidR="007C0FED" w14:paraId="09268031" w14:textId="77777777" w:rsidTr="001149C3">
        <w:tc>
          <w:tcPr>
            <w:tcW w:w="6374" w:type="dxa"/>
            <w:tcBorders>
              <w:top w:val="single" w:sz="4" w:space="0" w:color="auto"/>
              <w:left w:val="single" w:sz="4" w:space="0" w:color="auto"/>
              <w:bottom w:val="single" w:sz="4" w:space="0" w:color="auto"/>
              <w:right w:val="nil"/>
            </w:tcBorders>
          </w:tcPr>
          <w:p w14:paraId="7D211D60" w14:textId="77777777" w:rsidR="007C0FED" w:rsidRPr="00422449" w:rsidRDefault="007C0FED" w:rsidP="00DE4BAF">
            <w:pPr>
              <w:pStyle w:val="NormalWeb"/>
              <w:spacing w:before="120" w:beforeAutospacing="0" w:after="120" w:afterAutospacing="0" w:line="276" w:lineRule="auto"/>
              <w:rPr>
                <w:rFonts w:ascii="Arial,Bold" w:hAnsi="Arial,Bold"/>
                <w:color w:val="000000" w:themeColor="text1"/>
              </w:rPr>
            </w:pPr>
            <w:r w:rsidRPr="00422449">
              <w:rPr>
                <w:rFonts w:ascii="Arial,Bold" w:hAnsi="Arial,Bold"/>
                <w:color w:val="000000" w:themeColor="text1"/>
              </w:rPr>
              <w:t>Prescribers</w:t>
            </w:r>
          </w:p>
        </w:tc>
        <w:tc>
          <w:tcPr>
            <w:tcW w:w="1276" w:type="dxa"/>
            <w:tcBorders>
              <w:top w:val="single" w:sz="4" w:space="0" w:color="auto"/>
              <w:left w:val="nil"/>
              <w:bottom w:val="single" w:sz="4" w:space="0" w:color="auto"/>
              <w:right w:val="nil"/>
            </w:tcBorders>
          </w:tcPr>
          <w:p w14:paraId="7A70E81A" w14:textId="77777777" w:rsidR="007C0FED" w:rsidRPr="00422449" w:rsidRDefault="007C0FED" w:rsidP="00DE4BAF">
            <w:pPr>
              <w:pStyle w:val="NormalWeb"/>
              <w:spacing w:before="120" w:beforeAutospacing="0" w:after="120" w:afterAutospacing="0" w:line="276" w:lineRule="auto"/>
              <w:jc w:val="center"/>
              <w:rPr>
                <w:rFonts w:ascii="Arial,Bold" w:hAnsi="Arial,Bold"/>
                <w:color w:val="000000" w:themeColor="text1"/>
              </w:rPr>
            </w:pPr>
            <w:r w:rsidRPr="00422449">
              <w:rPr>
                <w:rFonts w:ascii="Arial,Bold" w:hAnsi="Arial,Bold"/>
                <w:color w:val="000000" w:themeColor="text1"/>
              </w:rPr>
              <w:t>11</w:t>
            </w:r>
          </w:p>
        </w:tc>
        <w:tc>
          <w:tcPr>
            <w:tcW w:w="1360" w:type="dxa"/>
            <w:tcBorders>
              <w:top w:val="single" w:sz="4" w:space="0" w:color="auto"/>
              <w:left w:val="nil"/>
              <w:bottom w:val="single" w:sz="4" w:space="0" w:color="auto"/>
              <w:right w:val="single" w:sz="4" w:space="0" w:color="auto"/>
            </w:tcBorders>
          </w:tcPr>
          <w:p w14:paraId="588533F1" w14:textId="77777777" w:rsidR="007C0FED" w:rsidRPr="00422449" w:rsidRDefault="007C0FED" w:rsidP="00DE4BAF">
            <w:pPr>
              <w:pStyle w:val="NormalWeb"/>
              <w:spacing w:before="120" w:beforeAutospacing="0" w:after="120" w:afterAutospacing="0" w:line="276" w:lineRule="auto"/>
              <w:jc w:val="center"/>
              <w:rPr>
                <w:rFonts w:ascii="Arial,Bold" w:hAnsi="Arial,Bold"/>
                <w:color w:val="000000" w:themeColor="text1"/>
              </w:rPr>
            </w:pPr>
            <w:r w:rsidRPr="00422449">
              <w:rPr>
                <w:rFonts w:ascii="Arial,Bold" w:hAnsi="Arial,Bold"/>
                <w:color w:val="000000" w:themeColor="text1"/>
              </w:rPr>
              <w:t>46%</w:t>
            </w:r>
          </w:p>
        </w:tc>
      </w:tr>
      <w:tr w:rsidR="007C0FED" w14:paraId="132FEB33" w14:textId="77777777" w:rsidTr="001149C3">
        <w:tc>
          <w:tcPr>
            <w:tcW w:w="6374" w:type="dxa"/>
            <w:tcBorders>
              <w:top w:val="single" w:sz="4" w:space="0" w:color="auto"/>
              <w:left w:val="single" w:sz="4" w:space="0" w:color="auto"/>
              <w:bottom w:val="single" w:sz="4" w:space="0" w:color="auto"/>
              <w:right w:val="nil"/>
            </w:tcBorders>
          </w:tcPr>
          <w:p w14:paraId="251090E6" w14:textId="77777777" w:rsidR="007C0FED" w:rsidRPr="00422449" w:rsidRDefault="007C0FED" w:rsidP="00DE4BAF">
            <w:pPr>
              <w:pStyle w:val="NormalWeb"/>
              <w:spacing w:before="120" w:beforeAutospacing="0" w:after="120" w:afterAutospacing="0" w:line="276" w:lineRule="auto"/>
              <w:rPr>
                <w:rFonts w:ascii="Arial,Bold" w:hAnsi="Arial,Bold"/>
                <w:color w:val="000000" w:themeColor="text1"/>
              </w:rPr>
            </w:pPr>
            <w:r w:rsidRPr="00422449">
              <w:rPr>
                <w:rFonts w:ascii="Arial,Bold" w:hAnsi="Arial,Bold"/>
                <w:color w:val="000000" w:themeColor="text1"/>
              </w:rPr>
              <w:t>Non-prescribers</w:t>
            </w:r>
          </w:p>
        </w:tc>
        <w:tc>
          <w:tcPr>
            <w:tcW w:w="1276" w:type="dxa"/>
            <w:tcBorders>
              <w:top w:val="single" w:sz="4" w:space="0" w:color="auto"/>
              <w:left w:val="nil"/>
              <w:bottom w:val="single" w:sz="4" w:space="0" w:color="auto"/>
              <w:right w:val="nil"/>
            </w:tcBorders>
          </w:tcPr>
          <w:p w14:paraId="07938AC5" w14:textId="77777777" w:rsidR="007C0FED" w:rsidRPr="00422449" w:rsidRDefault="007C0FED" w:rsidP="00DE4BAF">
            <w:pPr>
              <w:pStyle w:val="NormalWeb"/>
              <w:spacing w:before="120" w:beforeAutospacing="0" w:after="120" w:afterAutospacing="0" w:line="276" w:lineRule="auto"/>
              <w:jc w:val="center"/>
              <w:rPr>
                <w:rFonts w:ascii="Arial,Bold" w:hAnsi="Arial,Bold"/>
                <w:color w:val="000000" w:themeColor="text1"/>
              </w:rPr>
            </w:pPr>
            <w:r w:rsidRPr="00422449">
              <w:rPr>
                <w:rFonts w:ascii="Arial,Bold" w:hAnsi="Arial,Bold"/>
                <w:color w:val="000000" w:themeColor="text1"/>
              </w:rPr>
              <w:t>13</w:t>
            </w:r>
          </w:p>
        </w:tc>
        <w:tc>
          <w:tcPr>
            <w:tcW w:w="1360" w:type="dxa"/>
            <w:tcBorders>
              <w:top w:val="single" w:sz="4" w:space="0" w:color="auto"/>
              <w:left w:val="nil"/>
              <w:bottom w:val="single" w:sz="4" w:space="0" w:color="auto"/>
              <w:right w:val="single" w:sz="4" w:space="0" w:color="auto"/>
            </w:tcBorders>
          </w:tcPr>
          <w:p w14:paraId="423F586B" w14:textId="77777777" w:rsidR="007C0FED" w:rsidRPr="00422449" w:rsidRDefault="007C0FED" w:rsidP="00DE4BAF">
            <w:pPr>
              <w:pStyle w:val="NormalWeb"/>
              <w:spacing w:before="120" w:beforeAutospacing="0" w:after="120" w:afterAutospacing="0" w:line="276" w:lineRule="auto"/>
              <w:jc w:val="center"/>
              <w:rPr>
                <w:rFonts w:ascii="Arial,Bold" w:hAnsi="Arial,Bold"/>
                <w:color w:val="000000" w:themeColor="text1"/>
              </w:rPr>
            </w:pPr>
            <w:r w:rsidRPr="00422449">
              <w:rPr>
                <w:rFonts w:ascii="Arial,Bold" w:hAnsi="Arial,Bold"/>
                <w:color w:val="000000" w:themeColor="text1"/>
              </w:rPr>
              <w:t>54%</w:t>
            </w:r>
          </w:p>
        </w:tc>
      </w:tr>
      <w:tr w:rsidR="007C0FED" w14:paraId="7F5E2C76" w14:textId="77777777" w:rsidTr="001149C3">
        <w:tc>
          <w:tcPr>
            <w:tcW w:w="6374" w:type="dxa"/>
            <w:tcBorders>
              <w:top w:val="single" w:sz="4" w:space="0" w:color="auto"/>
              <w:left w:val="single" w:sz="4" w:space="0" w:color="auto"/>
              <w:bottom w:val="single" w:sz="4" w:space="0" w:color="auto"/>
              <w:right w:val="nil"/>
            </w:tcBorders>
          </w:tcPr>
          <w:p w14:paraId="305EAD57" w14:textId="77777777" w:rsidR="007C0FED" w:rsidRPr="00422449" w:rsidRDefault="007C0FED" w:rsidP="00DE4BAF">
            <w:pPr>
              <w:pStyle w:val="NormalWeb"/>
              <w:spacing w:before="120" w:beforeAutospacing="0" w:after="120" w:afterAutospacing="0" w:line="276" w:lineRule="auto"/>
              <w:rPr>
                <w:rFonts w:ascii="Arial,Bold" w:hAnsi="Arial,Bold"/>
                <w:b/>
                <w:bCs/>
                <w:color w:val="000000" w:themeColor="text1"/>
              </w:rPr>
            </w:pPr>
            <w:r w:rsidRPr="00422449">
              <w:rPr>
                <w:rFonts w:ascii="Arial,Bold" w:hAnsi="Arial,Bold"/>
                <w:b/>
                <w:bCs/>
                <w:color w:val="000000" w:themeColor="text1"/>
              </w:rPr>
              <w:t>Total</w:t>
            </w:r>
          </w:p>
        </w:tc>
        <w:tc>
          <w:tcPr>
            <w:tcW w:w="1276" w:type="dxa"/>
            <w:tcBorders>
              <w:top w:val="single" w:sz="4" w:space="0" w:color="auto"/>
              <w:left w:val="nil"/>
              <w:bottom w:val="single" w:sz="4" w:space="0" w:color="auto"/>
              <w:right w:val="nil"/>
            </w:tcBorders>
          </w:tcPr>
          <w:p w14:paraId="3B2CA3B8" w14:textId="77777777" w:rsidR="007C0FED" w:rsidRPr="00422449" w:rsidRDefault="007C0FED" w:rsidP="00DE4BAF">
            <w:pPr>
              <w:pStyle w:val="NormalWeb"/>
              <w:spacing w:before="120" w:beforeAutospacing="0" w:after="120" w:afterAutospacing="0" w:line="276" w:lineRule="auto"/>
              <w:jc w:val="center"/>
              <w:rPr>
                <w:rFonts w:ascii="Arial,Bold" w:hAnsi="Arial,Bold"/>
                <w:color w:val="000000" w:themeColor="text1"/>
              </w:rPr>
            </w:pPr>
            <w:r w:rsidRPr="00422449">
              <w:rPr>
                <w:rFonts w:ascii="Arial,Bold" w:hAnsi="Arial,Bold"/>
                <w:color w:val="000000" w:themeColor="text1"/>
              </w:rPr>
              <w:t>24</w:t>
            </w:r>
          </w:p>
        </w:tc>
        <w:tc>
          <w:tcPr>
            <w:tcW w:w="1360" w:type="dxa"/>
            <w:tcBorders>
              <w:top w:val="single" w:sz="4" w:space="0" w:color="auto"/>
              <w:left w:val="nil"/>
              <w:bottom w:val="single" w:sz="4" w:space="0" w:color="auto"/>
              <w:right w:val="single" w:sz="4" w:space="0" w:color="auto"/>
            </w:tcBorders>
          </w:tcPr>
          <w:p w14:paraId="3A919DC4" w14:textId="77777777" w:rsidR="007C0FED" w:rsidRPr="00422449" w:rsidRDefault="007C0FED" w:rsidP="00DE4BAF">
            <w:pPr>
              <w:pStyle w:val="NormalWeb"/>
              <w:spacing w:before="120" w:beforeAutospacing="0" w:after="120" w:afterAutospacing="0" w:line="276" w:lineRule="auto"/>
              <w:jc w:val="center"/>
              <w:rPr>
                <w:rFonts w:ascii="Arial,Bold" w:hAnsi="Arial,Bold"/>
                <w:color w:val="000000" w:themeColor="text1"/>
              </w:rPr>
            </w:pPr>
          </w:p>
        </w:tc>
      </w:tr>
    </w:tbl>
    <w:p w14:paraId="5ADC96EA" w14:textId="77777777" w:rsidR="007C0FED" w:rsidRDefault="007C0FED" w:rsidP="00DE4BAF">
      <w:pPr>
        <w:spacing w:line="276" w:lineRule="auto"/>
        <w:rPr>
          <w:rFonts w:ascii="Arial" w:hAnsi="Arial" w:cs="Arial"/>
          <w:color w:val="000000" w:themeColor="text1"/>
          <w:sz w:val="22"/>
          <w:szCs w:val="22"/>
        </w:rPr>
      </w:pPr>
    </w:p>
    <w:p w14:paraId="5B966626" w14:textId="77777777" w:rsidR="007C0FED" w:rsidRPr="00B748E3" w:rsidRDefault="007C0FED" w:rsidP="00DE4BAF">
      <w:pPr>
        <w:spacing w:line="276" w:lineRule="auto"/>
        <w:rPr>
          <w:rFonts w:ascii="Arial" w:hAnsi="Arial" w:cs="Arial"/>
          <w:color w:val="000000" w:themeColor="text1"/>
        </w:rPr>
      </w:pPr>
      <w:r w:rsidRPr="00B748E3">
        <w:rPr>
          <w:rFonts w:ascii="Arial" w:hAnsi="Arial" w:cs="Arial"/>
          <w:color w:val="000000" w:themeColor="text1"/>
        </w:rPr>
        <w:t>Table 4. Survey responses by role</w:t>
      </w:r>
    </w:p>
    <w:p w14:paraId="33D9A329" w14:textId="77777777" w:rsidR="007C0FED" w:rsidRDefault="007C0FED" w:rsidP="00DE4BAF">
      <w:pPr>
        <w:spacing w:line="276" w:lineRule="auto"/>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6374"/>
        <w:gridCol w:w="1276"/>
      </w:tblGrid>
      <w:tr w:rsidR="007C0FED" w14:paraId="5B50ED93" w14:textId="77777777" w:rsidTr="001149C3">
        <w:tc>
          <w:tcPr>
            <w:tcW w:w="6374" w:type="dxa"/>
            <w:tcBorders>
              <w:bottom w:val="single" w:sz="4" w:space="0" w:color="auto"/>
            </w:tcBorders>
            <w:shd w:val="clear" w:color="auto" w:fill="1072BD"/>
          </w:tcPr>
          <w:p w14:paraId="3F553030" w14:textId="77777777" w:rsidR="007C0FED" w:rsidRPr="00422449" w:rsidRDefault="007C0FED" w:rsidP="00DE4BAF">
            <w:pPr>
              <w:pStyle w:val="NormalWeb"/>
              <w:spacing w:before="120" w:beforeAutospacing="0" w:after="120" w:afterAutospacing="0" w:line="276" w:lineRule="auto"/>
              <w:jc w:val="center"/>
              <w:rPr>
                <w:rFonts w:ascii="Arial,Bold" w:hAnsi="Arial,Bold"/>
                <w:color w:val="FFFFFF" w:themeColor="background1"/>
              </w:rPr>
            </w:pPr>
            <w:r>
              <w:rPr>
                <w:rFonts w:ascii="Arial,Bold" w:hAnsi="Arial,Bold"/>
                <w:color w:val="FFFFFF" w:themeColor="background1"/>
              </w:rPr>
              <w:t>Role</w:t>
            </w:r>
          </w:p>
        </w:tc>
        <w:tc>
          <w:tcPr>
            <w:tcW w:w="1276" w:type="dxa"/>
            <w:tcBorders>
              <w:bottom w:val="single" w:sz="4" w:space="0" w:color="auto"/>
            </w:tcBorders>
            <w:shd w:val="clear" w:color="auto" w:fill="1072BD"/>
          </w:tcPr>
          <w:p w14:paraId="4226888A" w14:textId="77777777" w:rsidR="007C0FED" w:rsidRPr="00422449" w:rsidRDefault="007C0FED" w:rsidP="00DE4BAF">
            <w:pPr>
              <w:pStyle w:val="NormalWeb"/>
              <w:spacing w:before="120" w:beforeAutospacing="0" w:after="120" w:afterAutospacing="0" w:line="276" w:lineRule="auto"/>
              <w:jc w:val="center"/>
              <w:rPr>
                <w:rFonts w:ascii="Arial,Bold" w:hAnsi="Arial,Bold"/>
                <w:color w:val="FFFFFF" w:themeColor="background1"/>
              </w:rPr>
            </w:pPr>
            <w:r w:rsidRPr="00422449">
              <w:rPr>
                <w:rFonts w:ascii="Arial,Bold" w:hAnsi="Arial,Bold"/>
                <w:color w:val="FFFFFF" w:themeColor="background1"/>
              </w:rPr>
              <w:t>n</w:t>
            </w:r>
          </w:p>
        </w:tc>
      </w:tr>
      <w:tr w:rsidR="007C0FED" w14:paraId="66ED6CF9" w14:textId="77777777" w:rsidTr="001149C3">
        <w:tc>
          <w:tcPr>
            <w:tcW w:w="6374" w:type="dxa"/>
            <w:tcBorders>
              <w:top w:val="single" w:sz="4" w:space="0" w:color="auto"/>
              <w:left w:val="single" w:sz="4" w:space="0" w:color="auto"/>
              <w:bottom w:val="single" w:sz="4" w:space="0" w:color="auto"/>
              <w:right w:val="nil"/>
            </w:tcBorders>
          </w:tcPr>
          <w:p w14:paraId="4AB6F944" w14:textId="77777777" w:rsidR="007C0FED" w:rsidRPr="00422449" w:rsidRDefault="007C0FED" w:rsidP="00DE4BAF">
            <w:pPr>
              <w:pStyle w:val="NormalWeb"/>
              <w:spacing w:before="120" w:beforeAutospacing="0" w:after="120" w:afterAutospacing="0" w:line="276" w:lineRule="auto"/>
              <w:rPr>
                <w:rFonts w:ascii="Arial,Bold" w:hAnsi="Arial,Bold"/>
                <w:color w:val="000000" w:themeColor="text1"/>
              </w:rPr>
            </w:pPr>
            <w:r w:rsidRPr="00422449">
              <w:rPr>
                <w:rFonts w:ascii="Arial,Bold" w:hAnsi="Arial,Bold"/>
                <w:color w:val="000000" w:themeColor="text1"/>
              </w:rPr>
              <w:t>P</w:t>
            </w:r>
            <w:r>
              <w:rPr>
                <w:rFonts w:ascii="Arial,Bold" w:hAnsi="Arial,Bold"/>
                <w:color w:val="000000" w:themeColor="text1"/>
              </w:rPr>
              <w:t>harmacist</w:t>
            </w:r>
          </w:p>
        </w:tc>
        <w:tc>
          <w:tcPr>
            <w:tcW w:w="1276" w:type="dxa"/>
            <w:tcBorders>
              <w:top w:val="single" w:sz="4" w:space="0" w:color="auto"/>
              <w:left w:val="nil"/>
              <w:bottom w:val="single" w:sz="4" w:space="0" w:color="auto"/>
              <w:right w:val="single" w:sz="4" w:space="0" w:color="auto"/>
            </w:tcBorders>
          </w:tcPr>
          <w:p w14:paraId="68858FE0" w14:textId="77777777" w:rsidR="007C0FED" w:rsidRPr="00422449" w:rsidRDefault="007C0FED" w:rsidP="00DE4BAF">
            <w:pPr>
              <w:pStyle w:val="NormalWeb"/>
              <w:spacing w:before="120" w:beforeAutospacing="0" w:after="120" w:afterAutospacing="0" w:line="276" w:lineRule="auto"/>
              <w:jc w:val="center"/>
              <w:rPr>
                <w:rFonts w:ascii="Arial,Bold" w:hAnsi="Arial,Bold"/>
                <w:color w:val="000000" w:themeColor="text1"/>
              </w:rPr>
            </w:pPr>
            <w:r>
              <w:rPr>
                <w:rFonts w:ascii="Arial,Bold" w:hAnsi="Arial,Bold"/>
                <w:color w:val="000000" w:themeColor="text1"/>
              </w:rPr>
              <w:t>2</w:t>
            </w:r>
          </w:p>
        </w:tc>
      </w:tr>
      <w:tr w:rsidR="007C0FED" w14:paraId="0F79C29F" w14:textId="77777777" w:rsidTr="001149C3">
        <w:tc>
          <w:tcPr>
            <w:tcW w:w="6374" w:type="dxa"/>
            <w:tcBorders>
              <w:top w:val="single" w:sz="4" w:space="0" w:color="auto"/>
              <w:left w:val="single" w:sz="4" w:space="0" w:color="auto"/>
              <w:bottom w:val="single" w:sz="4" w:space="0" w:color="auto"/>
              <w:right w:val="nil"/>
            </w:tcBorders>
          </w:tcPr>
          <w:p w14:paraId="3D7A7C2D" w14:textId="77777777" w:rsidR="007C0FED" w:rsidRPr="00422449" w:rsidRDefault="007C0FED" w:rsidP="00DE4BAF">
            <w:pPr>
              <w:pStyle w:val="NormalWeb"/>
              <w:spacing w:before="120" w:beforeAutospacing="0" w:after="120" w:afterAutospacing="0" w:line="276" w:lineRule="auto"/>
              <w:rPr>
                <w:rFonts w:ascii="Arial,Bold" w:hAnsi="Arial,Bold"/>
                <w:color w:val="000000" w:themeColor="text1"/>
              </w:rPr>
            </w:pPr>
            <w:r>
              <w:rPr>
                <w:rFonts w:ascii="Arial,Bold" w:hAnsi="Arial,Bold"/>
                <w:color w:val="000000" w:themeColor="text1"/>
              </w:rPr>
              <w:t>Physiotherapist</w:t>
            </w:r>
          </w:p>
        </w:tc>
        <w:tc>
          <w:tcPr>
            <w:tcW w:w="1276" w:type="dxa"/>
            <w:tcBorders>
              <w:top w:val="single" w:sz="4" w:space="0" w:color="auto"/>
              <w:left w:val="nil"/>
              <w:bottom w:val="single" w:sz="4" w:space="0" w:color="auto"/>
              <w:right w:val="single" w:sz="4" w:space="0" w:color="auto"/>
            </w:tcBorders>
          </w:tcPr>
          <w:p w14:paraId="1EFA9D85" w14:textId="77777777" w:rsidR="007C0FED" w:rsidRPr="00422449" w:rsidRDefault="007C0FED" w:rsidP="00DE4BAF">
            <w:pPr>
              <w:pStyle w:val="NormalWeb"/>
              <w:spacing w:before="120" w:beforeAutospacing="0" w:after="120" w:afterAutospacing="0" w:line="276" w:lineRule="auto"/>
              <w:jc w:val="center"/>
              <w:rPr>
                <w:rFonts w:ascii="Arial,Bold" w:hAnsi="Arial,Bold"/>
                <w:color w:val="000000" w:themeColor="text1"/>
              </w:rPr>
            </w:pPr>
            <w:r>
              <w:rPr>
                <w:rFonts w:ascii="Arial,Bold" w:hAnsi="Arial,Bold"/>
                <w:color w:val="000000" w:themeColor="text1"/>
              </w:rPr>
              <w:t>6</w:t>
            </w:r>
          </w:p>
        </w:tc>
      </w:tr>
      <w:tr w:rsidR="007C0FED" w14:paraId="1318CA0C" w14:textId="77777777" w:rsidTr="001149C3">
        <w:tc>
          <w:tcPr>
            <w:tcW w:w="6374" w:type="dxa"/>
            <w:tcBorders>
              <w:top w:val="single" w:sz="4" w:space="0" w:color="auto"/>
              <w:left w:val="single" w:sz="4" w:space="0" w:color="auto"/>
              <w:bottom w:val="single" w:sz="4" w:space="0" w:color="auto"/>
              <w:right w:val="nil"/>
            </w:tcBorders>
          </w:tcPr>
          <w:p w14:paraId="4D2C164B" w14:textId="77777777" w:rsidR="007C0FED" w:rsidRDefault="007C0FED" w:rsidP="00DE4BAF">
            <w:pPr>
              <w:pStyle w:val="NormalWeb"/>
              <w:spacing w:before="120" w:beforeAutospacing="0" w:after="120" w:afterAutospacing="0" w:line="276" w:lineRule="auto"/>
              <w:rPr>
                <w:rFonts w:ascii="Arial,Bold" w:hAnsi="Arial,Bold"/>
                <w:color w:val="000000" w:themeColor="text1"/>
              </w:rPr>
            </w:pPr>
            <w:r>
              <w:rPr>
                <w:rFonts w:ascii="Arial,Bold" w:hAnsi="Arial,Bold"/>
                <w:color w:val="000000" w:themeColor="text1"/>
              </w:rPr>
              <w:t>Podiatrist</w:t>
            </w:r>
          </w:p>
        </w:tc>
        <w:tc>
          <w:tcPr>
            <w:tcW w:w="1276" w:type="dxa"/>
            <w:tcBorders>
              <w:top w:val="single" w:sz="4" w:space="0" w:color="auto"/>
              <w:left w:val="nil"/>
              <w:bottom w:val="single" w:sz="4" w:space="0" w:color="auto"/>
              <w:right w:val="single" w:sz="4" w:space="0" w:color="auto"/>
            </w:tcBorders>
          </w:tcPr>
          <w:p w14:paraId="2F600E7E" w14:textId="77777777" w:rsidR="007C0FED" w:rsidRDefault="007C0FED" w:rsidP="00DE4BAF">
            <w:pPr>
              <w:pStyle w:val="NormalWeb"/>
              <w:spacing w:before="120" w:beforeAutospacing="0" w:after="120" w:afterAutospacing="0" w:line="276" w:lineRule="auto"/>
              <w:jc w:val="center"/>
              <w:rPr>
                <w:rFonts w:ascii="Arial,Bold" w:hAnsi="Arial,Bold"/>
                <w:color w:val="000000" w:themeColor="text1"/>
              </w:rPr>
            </w:pPr>
            <w:r>
              <w:rPr>
                <w:rFonts w:ascii="Arial,Bold" w:hAnsi="Arial,Bold"/>
                <w:color w:val="000000" w:themeColor="text1"/>
              </w:rPr>
              <w:t>2</w:t>
            </w:r>
          </w:p>
        </w:tc>
      </w:tr>
      <w:tr w:rsidR="007C0FED" w14:paraId="6CB7572F" w14:textId="77777777" w:rsidTr="001149C3">
        <w:tc>
          <w:tcPr>
            <w:tcW w:w="6374" w:type="dxa"/>
            <w:tcBorders>
              <w:top w:val="single" w:sz="4" w:space="0" w:color="auto"/>
              <w:left w:val="single" w:sz="4" w:space="0" w:color="auto"/>
              <w:bottom w:val="single" w:sz="4" w:space="0" w:color="auto"/>
              <w:right w:val="nil"/>
            </w:tcBorders>
          </w:tcPr>
          <w:p w14:paraId="390BF2C5" w14:textId="77777777" w:rsidR="007C0FED" w:rsidRDefault="007C0FED" w:rsidP="00DE4BAF">
            <w:pPr>
              <w:pStyle w:val="NormalWeb"/>
              <w:spacing w:before="120" w:beforeAutospacing="0" w:after="120" w:afterAutospacing="0" w:line="276" w:lineRule="auto"/>
              <w:rPr>
                <w:rFonts w:ascii="Arial,Bold" w:hAnsi="Arial,Bold"/>
                <w:color w:val="000000" w:themeColor="text1"/>
              </w:rPr>
            </w:pPr>
            <w:r>
              <w:rPr>
                <w:rFonts w:ascii="Arial,Bold" w:hAnsi="Arial,Bold"/>
                <w:color w:val="000000" w:themeColor="text1"/>
              </w:rPr>
              <w:t>GP</w:t>
            </w:r>
          </w:p>
        </w:tc>
        <w:tc>
          <w:tcPr>
            <w:tcW w:w="1276" w:type="dxa"/>
            <w:tcBorders>
              <w:top w:val="single" w:sz="4" w:space="0" w:color="auto"/>
              <w:left w:val="nil"/>
              <w:bottom w:val="single" w:sz="4" w:space="0" w:color="auto"/>
              <w:right w:val="single" w:sz="4" w:space="0" w:color="auto"/>
            </w:tcBorders>
          </w:tcPr>
          <w:p w14:paraId="1A6D4330" w14:textId="77777777" w:rsidR="007C0FED" w:rsidRDefault="007C0FED" w:rsidP="00DE4BAF">
            <w:pPr>
              <w:pStyle w:val="NormalWeb"/>
              <w:spacing w:before="120" w:beforeAutospacing="0" w:after="120" w:afterAutospacing="0" w:line="276" w:lineRule="auto"/>
              <w:jc w:val="center"/>
              <w:rPr>
                <w:rFonts w:ascii="Arial,Bold" w:hAnsi="Arial,Bold"/>
                <w:color w:val="000000" w:themeColor="text1"/>
              </w:rPr>
            </w:pPr>
            <w:r>
              <w:rPr>
                <w:rFonts w:ascii="Arial,Bold" w:hAnsi="Arial,Bold"/>
                <w:color w:val="000000" w:themeColor="text1"/>
              </w:rPr>
              <w:t>2</w:t>
            </w:r>
          </w:p>
        </w:tc>
      </w:tr>
      <w:tr w:rsidR="007C0FED" w14:paraId="26F600B8" w14:textId="77777777" w:rsidTr="001149C3">
        <w:tc>
          <w:tcPr>
            <w:tcW w:w="6374" w:type="dxa"/>
            <w:tcBorders>
              <w:top w:val="single" w:sz="4" w:space="0" w:color="auto"/>
              <w:left w:val="single" w:sz="4" w:space="0" w:color="auto"/>
              <w:bottom w:val="single" w:sz="4" w:space="0" w:color="auto"/>
              <w:right w:val="nil"/>
            </w:tcBorders>
          </w:tcPr>
          <w:p w14:paraId="5098A29B" w14:textId="77777777" w:rsidR="007C0FED" w:rsidRDefault="007C0FED" w:rsidP="00DE4BAF">
            <w:pPr>
              <w:pStyle w:val="NormalWeb"/>
              <w:spacing w:before="120" w:beforeAutospacing="0" w:after="120" w:afterAutospacing="0" w:line="276" w:lineRule="auto"/>
              <w:rPr>
                <w:rFonts w:ascii="Arial,Bold" w:hAnsi="Arial,Bold"/>
                <w:color w:val="000000" w:themeColor="text1"/>
              </w:rPr>
            </w:pPr>
            <w:r>
              <w:rPr>
                <w:rFonts w:ascii="Arial,Bold" w:hAnsi="Arial,Bold"/>
                <w:color w:val="000000" w:themeColor="text1"/>
              </w:rPr>
              <w:t>Nurse</w:t>
            </w:r>
          </w:p>
        </w:tc>
        <w:tc>
          <w:tcPr>
            <w:tcW w:w="1276" w:type="dxa"/>
            <w:tcBorders>
              <w:top w:val="single" w:sz="4" w:space="0" w:color="auto"/>
              <w:left w:val="nil"/>
              <w:bottom w:val="single" w:sz="4" w:space="0" w:color="auto"/>
              <w:right w:val="single" w:sz="4" w:space="0" w:color="auto"/>
            </w:tcBorders>
          </w:tcPr>
          <w:p w14:paraId="0AA2E9F5" w14:textId="77777777" w:rsidR="007C0FED" w:rsidRDefault="007C0FED" w:rsidP="00DE4BAF">
            <w:pPr>
              <w:pStyle w:val="NormalWeb"/>
              <w:spacing w:before="120" w:beforeAutospacing="0" w:after="120" w:afterAutospacing="0" w:line="276" w:lineRule="auto"/>
              <w:jc w:val="center"/>
              <w:rPr>
                <w:rFonts w:ascii="Arial,Bold" w:hAnsi="Arial,Bold"/>
                <w:color w:val="000000" w:themeColor="text1"/>
              </w:rPr>
            </w:pPr>
            <w:r>
              <w:rPr>
                <w:rFonts w:ascii="Arial,Bold" w:hAnsi="Arial,Bold"/>
                <w:color w:val="000000" w:themeColor="text1"/>
              </w:rPr>
              <w:t>2</w:t>
            </w:r>
          </w:p>
        </w:tc>
      </w:tr>
      <w:tr w:rsidR="007C0FED" w14:paraId="51BAE90F" w14:textId="77777777" w:rsidTr="001149C3">
        <w:tc>
          <w:tcPr>
            <w:tcW w:w="6374" w:type="dxa"/>
            <w:tcBorders>
              <w:top w:val="single" w:sz="4" w:space="0" w:color="auto"/>
              <w:left w:val="single" w:sz="4" w:space="0" w:color="auto"/>
              <w:bottom w:val="single" w:sz="4" w:space="0" w:color="auto"/>
              <w:right w:val="nil"/>
            </w:tcBorders>
          </w:tcPr>
          <w:p w14:paraId="46866CD5" w14:textId="77777777" w:rsidR="007C0FED" w:rsidRDefault="007C0FED" w:rsidP="00DE4BAF">
            <w:pPr>
              <w:pStyle w:val="NormalWeb"/>
              <w:spacing w:before="120" w:beforeAutospacing="0" w:after="120" w:afterAutospacing="0" w:line="276" w:lineRule="auto"/>
              <w:rPr>
                <w:rFonts w:ascii="Arial,Bold" w:hAnsi="Arial,Bold"/>
                <w:color w:val="000000" w:themeColor="text1"/>
              </w:rPr>
            </w:pPr>
            <w:r>
              <w:rPr>
                <w:rFonts w:ascii="Arial,Bold" w:hAnsi="Arial,Bold"/>
                <w:color w:val="000000" w:themeColor="text1"/>
              </w:rPr>
              <w:t>Occupational therapist or assistant</w:t>
            </w:r>
          </w:p>
        </w:tc>
        <w:tc>
          <w:tcPr>
            <w:tcW w:w="1276" w:type="dxa"/>
            <w:tcBorders>
              <w:top w:val="single" w:sz="4" w:space="0" w:color="auto"/>
              <w:left w:val="nil"/>
              <w:bottom w:val="single" w:sz="4" w:space="0" w:color="auto"/>
              <w:right w:val="single" w:sz="4" w:space="0" w:color="auto"/>
            </w:tcBorders>
          </w:tcPr>
          <w:p w14:paraId="2E0A06FD" w14:textId="77777777" w:rsidR="007C0FED" w:rsidRDefault="007C0FED" w:rsidP="00DE4BAF">
            <w:pPr>
              <w:pStyle w:val="NormalWeb"/>
              <w:spacing w:before="120" w:beforeAutospacing="0" w:after="120" w:afterAutospacing="0" w:line="276" w:lineRule="auto"/>
              <w:jc w:val="center"/>
              <w:rPr>
                <w:rFonts w:ascii="Arial,Bold" w:hAnsi="Arial,Bold"/>
                <w:color w:val="000000" w:themeColor="text1"/>
              </w:rPr>
            </w:pPr>
            <w:r>
              <w:rPr>
                <w:rFonts w:ascii="Arial,Bold" w:hAnsi="Arial,Bold"/>
                <w:color w:val="000000" w:themeColor="text1"/>
              </w:rPr>
              <w:t>2</w:t>
            </w:r>
          </w:p>
        </w:tc>
      </w:tr>
      <w:tr w:rsidR="007C0FED" w14:paraId="3E5D9CD4" w14:textId="77777777" w:rsidTr="001149C3">
        <w:tc>
          <w:tcPr>
            <w:tcW w:w="6374" w:type="dxa"/>
            <w:tcBorders>
              <w:top w:val="single" w:sz="4" w:space="0" w:color="auto"/>
              <w:left w:val="single" w:sz="4" w:space="0" w:color="auto"/>
              <w:bottom w:val="single" w:sz="4" w:space="0" w:color="auto"/>
              <w:right w:val="nil"/>
            </w:tcBorders>
          </w:tcPr>
          <w:p w14:paraId="0A8BB36D" w14:textId="77777777" w:rsidR="007C0FED" w:rsidRDefault="007C0FED" w:rsidP="00DE4BAF">
            <w:pPr>
              <w:pStyle w:val="NormalWeb"/>
              <w:spacing w:before="120" w:beforeAutospacing="0" w:after="120" w:afterAutospacing="0" w:line="276" w:lineRule="auto"/>
              <w:rPr>
                <w:rFonts w:ascii="Arial,Bold" w:hAnsi="Arial,Bold"/>
                <w:color w:val="000000" w:themeColor="text1"/>
              </w:rPr>
            </w:pPr>
            <w:r>
              <w:rPr>
                <w:rFonts w:ascii="Arial,Bold" w:hAnsi="Arial,Bold"/>
                <w:color w:val="000000" w:themeColor="text1"/>
              </w:rPr>
              <w:t>Midwife</w:t>
            </w:r>
          </w:p>
        </w:tc>
        <w:tc>
          <w:tcPr>
            <w:tcW w:w="1276" w:type="dxa"/>
            <w:tcBorders>
              <w:top w:val="single" w:sz="4" w:space="0" w:color="auto"/>
              <w:left w:val="nil"/>
              <w:bottom w:val="single" w:sz="4" w:space="0" w:color="auto"/>
              <w:right w:val="single" w:sz="4" w:space="0" w:color="auto"/>
            </w:tcBorders>
          </w:tcPr>
          <w:p w14:paraId="2C6F214F" w14:textId="77777777" w:rsidR="007C0FED" w:rsidRDefault="007C0FED" w:rsidP="00DE4BAF">
            <w:pPr>
              <w:pStyle w:val="NormalWeb"/>
              <w:spacing w:before="120" w:beforeAutospacing="0" w:after="120" w:afterAutospacing="0" w:line="276" w:lineRule="auto"/>
              <w:jc w:val="center"/>
              <w:rPr>
                <w:rFonts w:ascii="Arial,Bold" w:hAnsi="Arial,Bold"/>
                <w:color w:val="000000" w:themeColor="text1"/>
              </w:rPr>
            </w:pPr>
            <w:r>
              <w:rPr>
                <w:rFonts w:ascii="Arial,Bold" w:hAnsi="Arial,Bold"/>
                <w:color w:val="000000" w:themeColor="text1"/>
              </w:rPr>
              <w:t>1</w:t>
            </w:r>
          </w:p>
        </w:tc>
      </w:tr>
      <w:tr w:rsidR="007C0FED" w14:paraId="5ED99214" w14:textId="77777777" w:rsidTr="001149C3">
        <w:tc>
          <w:tcPr>
            <w:tcW w:w="6374" w:type="dxa"/>
            <w:tcBorders>
              <w:top w:val="single" w:sz="4" w:space="0" w:color="auto"/>
              <w:left w:val="single" w:sz="4" w:space="0" w:color="auto"/>
              <w:bottom w:val="single" w:sz="4" w:space="0" w:color="auto"/>
              <w:right w:val="nil"/>
            </w:tcBorders>
          </w:tcPr>
          <w:p w14:paraId="285655A5" w14:textId="77777777" w:rsidR="007C0FED" w:rsidRDefault="007C0FED" w:rsidP="00DE4BAF">
            <w:pPr>
              <w:pStyle w:val="NormalWeb"/>
              <w:spacing w:before="120" w:beforeAutospacing="0" w:after="120" w:afterAutospacing="0" w:line="276" w:lineRule="auto"/>
              <w:rPr>
                <w:rFonts w:ascii="Arial,Bold" w:hAnsi="Arial,Bold"/>
                <w:color w:val="000000" w:themeColor="text1"/>
              </w:rPr>
            </w:pPr>
            <w:r>
              <w:rPr>
                <w:rFonts w:ascii="Arial,Bold" w:hAnsi="Arial,Bold"/>
                <w:color w:val="000000" w:themeColor="text1"/>
              </w:rPr>
              <w:lastRenderedPageBreak/>
              <w:t>Dietician</w:t>
            </w:r>
          </w:p>
        </w:tc>
        <w:tc>
          <w:tcPr>
            <w:tcW w:w="1276" w:type="dxa"/>
            <w:tcBorders>
              <w:top w:val="single" w:sz="4" w:space="0" w:color="auto"/>
              <w:left w:val="nil"/>
              <w:bottom w:val="single" w:sz="4" w:space="0" w:color="auto"/>
              <w:right w:val="single" w:sz="4" w:space="0" w:color="auto"/>
            </w:tcBorders>
          </w:tcPr>
          <w:p w14:paraId="1320729C" w14:textId="77777777" w:rsidR="007C0FED" w:rsidRDefault="007C0FED" w:rsidP="00DE4BAF">
            <w:pPr>
              <w:pStyle w:val="NormalWeb"/>
              <w:spacing w:before="120" w:beforeAutospacing="0" w:after="120" w:afterAutospacing="0" w:line="276" w:lineRule="auto"/>
              <w:jc w:val="center"/>
              <w:rPr>
                <w:rFonts w:ascii="Arial,Bold" w:hAnsi="Arial,Bold"/>
                <w:color w:val="000000" w:themeColor="text1"/>
              </w:rPr>
            </w:pPr>
            <w:r>
              <w:rPr>
                <w:rFonts w:ascii="Arial,Bold" w:hAnsi="Arial,Bold"/>
                <w:color w:val="000000" w:themeColor="text1"/>
              </w:rPr>
              <w:t>1</w:t>
            </w:r>
          </w:p>
        </w:tc>
      </w:tr>
      <w:tr w:rsidR="007C0FED" w14:paraId="4997B847" w14:textId="77777777" w:rsidTr="001149C3">
        <w:tc>
          <w:tcPr>
            <w:tcW w:w="6374" w:type="dxa"/>
            <w:tcBorders>
              <w:top w:val="single" w:sz="4" w:space="0" w:color="auto"/>
              <w:left w:val="single" w:sz="4" w:space="0" w:color="auto"/>
              <w:bottom w:val="single" w:sz="4" w:space="0" w:color="auto"/>
              <w:right w:val="nil"/>
            </w:tcBorders>
          </w:tcPr>
          <w:p w14:paraId="5BC5E713" w14:textId="77777777" w:rsidR="007C0FED" w:rsidRDefault="007C0FED" w:rsidP="00DE4BAF">
            <w:pPr>
              <w:pStyle w:val="NormalWeb"/>
              <w:spacing w:before="120" w:beforeAutospacing="0" w:after="120" w:afterAutospacing="0" w:line="276" w:lineRule="auto"/>
              <w:rPr>
                <w:rFonts w:ascii="Arial,Bold" w:hAnsi="Arial,Bold"/>
                <w:color w:val="000000" w:themeColor="text1"/>
              </w:rPr>
            </w:pPr>
            <w:r>
              <w:rPr>
                <w:rFonts w:ascii="Arial,Bold" w:hAnsi="Arial,Bold"/>
                <w:color w:val="000000" w:themeColor="text1"/>
              </w:rPr>
              <w:t>Patient</w:t>
            </w:r>
          </w:p>
        </w:tc>
        <w:tc>
          <w:tcPr>
            <w:tcW w:w="1276" w:type="dxa"/>
            <w:tcBorders>
              <w:top w:val="single" w:sz="4" w:space="0" w:color="auto"/>
              <w:left w:val="nil"/>
              <w:bottom w:val="single" w:sz="4" w:space="0" w:color="auto"/>
              <w:right w:val="single" w:sz="4" w:space="0" w:color="auto"/>
            </w:tcBorders>
          </w:tcPr>
          <w:p w14:paraId="523EADA0" w14:textId="77777777" w:rsidR="007C0FED" w:rsidRDefault="007C0FED" w:rsidP="00DE4BAF">
            <w:pPr>
              <w:pStyle w:val="NormalWeb"/>
              <w:spacing w:before="120" w:beforeAutospacing="0" w:after="120" w:afterAutospacing="0" w:line="276" w:lineRule="auto"/>
              <w:jc w:val="center"/>
              <w:rPr>
                <w:rFonts w:ascii="Arial,Bold" w:hAnsi="Arial,Bold"/>
                <w:color w:val="000000" w:themeColor="text1"/>
              </w:rPr>
            </w:pPr>
            <w:r>
              <w:rPr>
                <w:rFonts w:ascii="Arial,Bold" w:hAnsi="Arial,Bold"/>
                <w:color w:val="000000" w:themeColor="text1"/>
              </w:rPr>
              <w:t>1</w:t>
            </w:r>
          </w:p>
        </w:tc>
      </w:tr>
      <w:tr w:rsidR="007C0FED" w14:paraId="5ADCE30A" w14:textId="77777777" w:rsidTr="001149C3">
        <w:tc>
          <w:tcPr>
            <w:tcW w:w="6374" w:type="dxa"/>
            <w:tcBorders>
              <w:top w:val="single" w:sz="4" w:space="0" w:color="auto"/>
              <w:left w:val="single" w:sz="4" w:space="0" w:color="auto"/>
              <w:bottom w:val="single" w:sz="4" w:space="0" w:color="auto"/>
              <w:right w:val="nil"/>
            </w:tcBorders>
          </w:tcPr>
          <w:p w14:paraId="5C855DDF" w14:textId="77777777" w:rsidR="007C0FED" w:rsidRDefault="007C0FED" w:rsidP="00DE4BAF">
            <w:pPr>
              <w:pStyle w:val="NormalWeb"/>
              <w:spacing w:before="120" w:beforeAutospacing="0" w:after="120" w:afterAutospacing="0" w:line="276" w:lineRule="auto"/>
              <w:rPr>
                <w:rFonts w:ascii="Arial,Bold" w:hAnsi="Arial,Bold"/>
                <w:color w:val="000000" w:themeColor="text1"/>
              </w:rPr>
            </w:pPr>
            <w:r>
              <w:rPr>
                <w:rFonts w:ascii="Arial,Bold" w:hAnsi="Arial,Bold"/>
                <w:color w:val="000000" w:themeColor="text1"/>
              </w:rPr>
              <w:t>Unknown</w:t>
            </w:r>
          </w:p>
        </w:tc>
        <w:tc>
          <w:tcPr>
            <w:tcW w:w="1276" w:type="dxa"/>
            <w:tcBorders>
              <w:top w:val="single" w:sz="4" w:space="0" w:color="auto"/>
              <w:left w:val="nil"/>
              <w:bottom w:val="single" w:sz="4" w:space="0" w:color="auto"/>
              <w:right w:val="single" w:sz="4" w:space="0" w:color="auto"/>
            </w:tcBorders>
          </w:tcPr>
          <w:p w14:paraId="036F2B4D" w14:textId="77777777" w:rsidR="007C0FED" w:rsidRDefault="007C0FED" w:rsidP="00DE4BAF">
            <w:pPr>
              <w:pStyle w:val="NormalWeb"/>
              <w:spacing w:before="120" w:beforeAutospacing="0" w:after="120" w:afterAutospacing="0" w:line="276" w:lineRule="auto"/>
              <w:jc w:val="center"/>
              <w:rPr>
                <w:rFonts w:ascii="Arial,Bold" w:hAnsi="Arial,Bold"/>
                <w:color w:val="000000" w:themeColor="text1"/>
              </w:rPr>
            </w:pPr>
            <w:r>
              <w:rPr>
                <w:rFonts w:ascii="Arial,Bold" w:hAnsi="Arial,Bold"/>
                <w:color w:val="000000" w:themeColor="text1"/>
              </w:rPr>
              <w:t>5</w:t>
            </w:r>
          </w:p>
        </w:tc>
      </w:tr>
      <w:tr w:rsidR="007C0FED" w14:paraId="61BBF3B0" w14:textId="77777777" w:rsidTr="001149C3">
        <w:tc>
          <w:tcPr>
            <w:tcW w:w="6374" w:type="dxa"/>
            <w:tcBorders>
              <w:top w:val="single" w:sz="4" w:space="0" w:color="auto"/>
              <w:left w:val="single" w:sz="4" w:space="0" w:color="auto"/>
              <w:bottom w:val="single" w:sz="4" w:space="0" w:color="auto"/>
              <w:right w:val="nil"/>
            </w:tcBorders>
          </w:tcPr>
          <w:p w14:paraId="66FEEE11" w14:textId="77777777" w:rsidR="007C0FED" w:rsidRPr="00422449" w:rsidRDefault="007C0FED" w:rsidP="00DE4BAF">
            <w:pPr>
              <w:pStyle w:val="NormalWeb"/>
              <w:spacing w:before="120" w:beforeAutospacing="0" w:after="120" w:afterAutospacing="0" w:line="276" w:lineRule="auto"/>
              <w:rPr>
                <w:rFonts w:ascii="Arial,Bold" w:hAnsi="Arial,Bold"/>
                <w:b/>
                <w:bCs/>
                <w:color w:val="000000" w:themeColor="text1"/>
              </w:rPr>
            </w:pPr>
            <w:r w:rsidRPr="00422449">
              <w:rPr>
                <w:rFonts w:ascii="Arial,Bold" w:hAnsi="Arial,Bold"/>
                <w:b/>
                <w:bCs/>
                <w:color w:val="000000" w:themeColor="text1"/>
              </w:rPr>
              <w:t>Total</w:t>
            </w:r>
          </w:p>
        </w:tc>
        <w:tc>
          <w:tcPr>
            <w:tcW w:w="1276" w:type="dxa"/>
            <w:tcBorders>
              <w:top w:val="single" w:sz="4" w:space="0" w:color="auto"/>
              <w:left w:val="nil"/>
              <w:bottom w:val="single" w:sz="4" w:space="0" w:color="auto"/>
              <w:right w:val="single" w:sz="4" w:space="0" w:color="auto"/>
            </w:tcBorders>
          </w:tcPr>
          <w:p w14:paraId="5CFFF08B" w14:textId="77777777" w:rsidR="007C0FED" w:rsidRPr="00422449" w:rsidRDefault="007C0FED" w:rsidP="00DE4BAF">
            <w:pPr>
              <w:pStyle w:val="NormalWeb"/>
              <w:spacing w:before="120" w:beforeAutospacing="0" w:after="120" w:afterAutospacing="0" w:line="276" w:lineRule="auto"/>
              <w:jc w:val="center"/>
              <w:rPr>
                <w:rFonts w:ascii="Arial,Bold" w:hAnsi="Arial,Bold"/>
                <w:color w:val="000000" w:themeColor="text1"/>
              </w:rPr>
            </w:pPr>
            <w:r w:rsidRPr="00422449">
              <w:rPr>
                <w:rFonts w:ascii="Arial,Bold" w:hAnsi="Arial,Bold"/>
                <w:color w:val="000000" w:themeColor="text1"/>
              </w:rPr>
              <w:t>2</w:t>
            </w:r>
            <w:r>
              <w:rPr>
                <w:rFonts w:ascii="Arial,Bold" w:hAnsi="Arial,Bold"/>
                <w:color w:val="000000" w:themeColor="text1"/>
              </w:rPr>
              <w:t>4</w:t>
            </w:r>
          </w:p>
        </w:tc>
      </w:tr>
    </w:tbl>
    <w:p w14:paraId="0280960F" w14:textId="77777777" w:rsidR="007C0FED" w:rsidRPr="00B748E3" w:rsidRDefault="007C0FED" w:rsidP="00DE4BAF">
      <w:pPr>
        <w:pStyle w:val="NormalWeb"/>
        <w:spacing w:before="240" w:line="276" w:lineRule="auto"/>
        <w:rPr>
          <w:rFonts w:ascii="Arial" w:hAnsi="Arial" w:cs="Arial"/>
          <w:color w:val="000000" w:themeColor="text1"/>
        </w:rPr>
      </w:pPr>
      <w:r w:rsidRPr="00B748E3">
        <w:rPr>
          <w:rFonts w:ascii="Arial" w:hAnsi="Arial" w:cs="Arial"/>
          <w:color w:val="000000" w:themeColor="text1"/>
        </w:rPr>
        <w:t>Notable responses from healthcare professionals to the survey are outlined below.</w:t>
      </w:r>
    </w:p>
    <w:p w14:paraId="1A097F3D" w14:textId="77777777" w:rsidR="007C0FED" w:rsidRPr="003B3321" w:rsidRDefault="007C0FED" w:rsidP="00DE4BAF">
      <w:pPr>
        <w:pStyle w:val="NormalWeb"/>
        <w:spacing w:before="240" w:line="276" w:lineRule="auto"/>
        <w:rPr>
          <w:rFonts w:ascii="Arial" w:hAnsi="Arial" w:cs="Arial"/>
          <w:color w:val="0070C0"/>
        </w:rPr>
      </w:pPr>
      <w:r w:rsidRPr="003B3321">
        <w:rPr>
          <w:rFonts w:ascii="Arial" w:hAnsi="Arial" w:cs="Arial"/>
          <w:color w:val="0070C0"/>
        </w:rPr>
        <w:t>On when it would be useful for professionals to be alerted to pharmacogenomic information:</w:t>
      </w:r>
    </w:p>
    <w:p w14:paraId="79630D11" w14:textId="77777777" w:rsidR="007C0FED" w:rsidRPr="00B748E3" w:rsidRDefault="007C0FED" w:rsidP="00DE4BAF">
      <w:pPr>
        <w:pStyle w:val="NormalWeb"/>
        <w:spacing w:before="240" w:line="276" w:lineRule="auto"/>
        <w:rPr>
          <w:rFonts w:ascii="Arial" w:hAnsi="Arial" w:cs="Arial"/>
          <w:color w:val="000000" w:themeColor="text1"/>
        </w:rPr>
      </w:pPr>
      <w:r w:rsidRPr="00B748E3">
        <w:rPr>
          <w:rFonts w:ascii="Arial" w:hAnsi="Arial" w:cs="Arial"/>
          <w:color w:val="000000" w:themeColor="text1"/>
        </w:rPr>
        <w:t xml:space="preserve">Responses included: ‘At all times’, ‘[at the time of] prescribing’, ‘on initial planning of medication’, ‘it would need to be integrated into existing prescribing decision support [which itself] needs root branch and review’, and ‘[when there is] increased patient risks’ or ‘prescribing risks’ or ‘[when treatment is likely to be ineffective [due to pharmacogenomics]’. </w:t>
      </w:r>
    </w:p>
    <w:p w14:paraId="67F94813" w14:textId="77777777" w:rsidR="007C0FED" w:rsidRPr="003B3321" w:rsidRDefault="007C0FED" w:rsidP="00DE4BAF">
      <w:pPr>
        <w:pStyle w:val="NormalWeb"/>
        <w:spacing w:line="276" w:lineRule="auto"/>
        <w:rPr>
          <w:rFonts w:ascii="Arial,Bold" w:hAnsi="Arial,Bold"/>
          <w:color w:val="1078B9"/>
        </w:rPr>
      </w:pPr>
      <w:r w:rsidRPr="003B3321">
        <w:rPr>
          <w:rFonts w:ascii="Arial" w:hAnsi="Arial" w:cs="Arial"/>
          <w:color w:val="0070C0"/>
        </w:rPr>
        <w:t xml:space="preserve">On who should be alerted to pharmacogenomic information: </w:t>
      </w:r>
    </w:p>
    <w:p w14:paraId="614EE754" w14:textId="77777777" w:rsidR="007C0FED" w:rsidRPr="00B748E3" w:rsidRDefault="007C0FED" w:rsidP="00DE4BAF">
      <w:pPr>
        <w:pStyle w:val="NormalWeb"/>
        <w:spacing w:line="276" w:lineRule="auto"/>
        <w:rPr>
          <w:rFonts w:ascii="Arial" w:hAnsi="Arial" w:cs="Arial"/>
          <w:color w:val="000000" w:themeColor="text1"/>
        </w:rPr>
      </w:pPr>
      <w:r w:rsidRPr="00B748E3">
        <w:rPr>
          <w:rFonts w:ascii="Arial" w:hAnsi="Arial" w:cs="Arial"/>
          <w:color w:val="000000" w:themeColor="text1"/>
        </w:rPr>
        <w:t xml:space="preserve">Responses included: ‘Relevant staff’ including ‘[the] prescriber’ or ‘prescribing clinician’, ‘the patient’ and ‘the patient’s GP’, ‘[the] pharmacy regulatory body for the trust’, and ‘[t]he prescriber, the pharmacist and the acknowledgement of the alert should be visible to the person administering the medication’. </w:t>
      </w:r>
    </w:p>
    <w:p w14:paraId="2B0D66F8" w14:textId="77777777" w:rsidR="007C0FED" w:rsidRPr="003B3321" w:rsidRDefault="007C0FED" w:rsidP="00DE4BAF">
      <w:pPr>
        <w:pStyle w:val="NormalWeb"/>
        <w:spacing w:line="276" w:lineRule="auto"/>
        <w:rPr>
          <w:rFonts w:ascii="Arial" w:hAnsi="Arial" w:cs="Arial"/>
          <w:color w:val="0070C0"/>
        </w:rPr>
      </w:pPr>
      <w:r w:rsidRPr="003B3321">
        <w:rPr>
          <w:rFonts w:ascii="Arial" w:hAnsi="Arial" w:cs="Arial"/>
          <w:color w:val="0070C0"/>
        </w:rPr>
        <w:t>On what key information should be alerted:</w:t>
      </w:r>
    </w:p>
    <w:p w14:paraId="3C340FAF" w14:textId="77777777" w:rsidR="007C0FED" w:rsidRPr="00B748E3" w:rsidRDefault="007C0FED" w:rsidP="00DE4BAF">
      <w:pPr>
        <w:pStyle w:val="NormalWeb"/>
        <w:spacing w:line="276" w:lineRule="auto"/>
        <w:rPr>
          <w:rFonts w:ascii="Arial" w:hAnsi="Arial" w:cs="Arial"/>
          <w:bCs/>
          <w:color w:val="000000" w:themeColor="text1"/>
        </w:rPr>
      </w:pPr>
      <w:r w:rsidRPr="00B748E3">
        <w:rPr>
          <w:rFonts w:ascii="Arial" w:hAnsi="Arial" w:cs="Arial"/>
          <w:color w:val="000000" w:themeColor="text1"/>
        </w:rPr>
        <w:t xml:space="preserve">Responses included: </w:t>
      </w:r>
      <w:r w:rsidRPr="00B748E3">
        <w:rPr>
          <w:rFonts w:ascii="Arial" w:hAnsi="Arial" w:cs="Arial"/>
          <w:bCs/>
          <w:color w:val="000000" w:themeColor="text1"/>
        </w:rPr>
        <w:t xml:space="preserve">‘[information on] the potential risk to the patient’ or ‘whether harm may be expected and how much’, ‘[phenotypic information such as] slow/rapid metaboliser, ‘[a] recommendation on another course of action’ and possible inclusion of information such as ‘whether this was a necessary drug or symptom relief only drug’. One respondent commented on the difficulty of answering the question and emphasised that ‘[pharmacogenomics] is not a ‘green field’ domain and there are many complex aspects to be taken into account, some more fully worked out than others’. </w:t>
      </w:r>
    </w:p>
    <w:p w14:paraId="344A9360" w14:textId="77777777" w:rsidR="007C0FED" w:rsidRPr="003B3321" w:rsidRDefault="007C0FED" w:rsidP="00DE4BAF">
      <w:pPr>
        <w:pStyle w:val="NormalWeb"/>
        <w:spacing w:line="276" w:lineRule="auto"/>
        <w:rPr>
          <w:rFonts w:ascii="Arial" w:hAnsi="Arial" w:cs="Arial"/>
          <w:color w:val="0070C0"/>
        </w:rPr>
      </w:pPr>
      <w:r w:rsidRPr="003B3321">
        <w:rPr>
          <w:rFonts w:ascii="Arial" w:hAnsi="Arial" w:cs="Arial"/>
          <w:color w:val="0070C0"/>
        </w:rPr>
        <w:t xml:space="preserve">On what would help the communication of pharmacogenomic information to </w:t>
      </w:r>
      <w:r>
        <w:rPr>
          <w:rFonts w:ascii="Arial" w:hAnsi="Arial" w:cs="Arial"/>
          <w:color w:val="0070C0"/>
        </w:rPr>
        <w:t>individual</w:t>
      </w:r>
      <w:r w:rsidRPr="003B3321">
        <w:rPr>
          <w:rFonts w:ascii="Arial" w:hAnsi="Arial" w:cs="Arial"/>
          <w:color w:val="0070C0"/>
        </w:rPr>
        <w:t>s:</w:t>
      </w:r>
    </w:p>
    <w:p w14:paraId="2C04ABCF" w14:textId="77777777" w:rsidR="007C0FED" w:rsidRPr="00B748E3" w:rsidRDefault="007C0FED" w:rsidP="00DE4BAF">
      <w:pPr>
        <w:pStyle w:val="NormalWeb"/>
        <w:spacing w:line="276" w:lineRule="auto"/>
        <w:rPr>
          <w:rFonts w:ascii="Arial" w:hAnsi="Arial" w:cs="Arial"/>
          <w:color w:val="000000" w:themeColor="text1"/>
        </w:rPr>
      </w:pPr>
      <w:r w:rsidRPr="00B748E3">
        <w:rPr>
          <w:rFonts w:ascii="Arial" w:hAnsi="Arial" w:cs="Arial"/>
          <w:color w:val="000000" w:themeColor="text1"/>
        </w:rPr>
        <w:t xml:space="preserve">Responses included: ‘[it] will depend on the individual patient/scenario’, but may include ‘leaflets’ and/or ‘videos’ that are ‘individually tailored’ with ‘short statements to read aloud’; ‘following a realistic medicine conversation initially’ and ‘[r]eferences to the evidence base (along with provenance) would be helpful in some cases’. </w:t>
      </w:r>
    </w:p>
    <w:p w14:paraId="4A3FE72F" w14:textId="77777777" w:rsidR="007C0FED" w:rsidRPr="003B3321" w:rsidRDefault="007C0FED" w:rsidP="00DE4BAF">
      <w:pPr>
        <w:pStyle w:val="NormalWeb"/>
        <w:spacing w:line="276" w:lineRule="auto"/>
        <w:rPr>
          <w:rFonts w:ascii="Arial" w:hAnsi="Arial" w:cs="Arial"/>
          <w:color w:val="0070C0"/>
        </w:rPr>
      </w:pPr>
      <w:r w:rsidRPr="003B3321">
        <w:rPr>
          <w:rFonts w:ascii="Arial" w:hAnsi="Arial" w:cs="Arial"/>
          <w:color w:val="0070C0"/>
        </w:rPr>
        <w:lastRenderedPageBreak/>
        <w:t>On the challenges of alerting pharmacogenomic information and possible solutions:</w:t>
      </w:r>
    </w:p>
    <w:p w14:paraId="1094DEC1" w14:textId="77777777" w:rsidR="007C0FED" w:rsidRPr="00B748E3" w:rsidRDefault="007C0FED" w:rsidP="00DE4BAF">
      <w:pPr>
        <w:pStyle w:val="NormalWeb"/>
        <w:spacing w:line="276" w:lineRule="auto"/>
        <w:rPr>
          <w:rFonts w:ascii="Arial" w:hAnsi="Arial" w:cs="Arial"/>
          <w:color w:val="000000" w:themeColor="text1"/>
        </w:rPr>
      </w:pPr>
      <w:r w:rsidRPr="00B748E3">
        <w:rPr>
          <w:rFonts w:ascii="Arial" w:hAnsi="Arial" w:cs="Arial"/>
          <w:color w:val="000000" w:themeColor="text1"/>
        </w:rPr>
        <w:t>Responses included: ‘[Concerns over] increased [use of the prescriber’s] time [and] access to [pharmacogenomic] testing, particularly in rural areas’, and several responses relating to patients such as ‘[how to gain] patient consent for [pharmacogenomic] information being shared’, ‘patients may feel this is intrusive testing / information’, ‘[possible unforeseen implications] for patients with a certain genotype…Does this put them at risk and would they rather not know?...Will people require counselling [before testing]?’ Several respondents alluded to the potential for negative experiences and unintended scenarios related to alerts for the prescriber with one emphasising of the importance of the evidence-based literature on ‘the need to avoid ‘alert fatigue’.</w:t>
      </w:r>
    </w:p>
    <w:p w14:paraId="3A323C13" w14:textId="77777777" w:rsidR="007C0FED" w:rsidRPr="003B3321" w:rsidRDefault="007C0FED" w:rsidP="00DE4BAF">
      <w:pPr>
        <w:pStyle w:val="NormalWeb"/>
        <w:spacing w:line="276" w:lineRule="auto"/>
        <w:rPr>
          <w:rFonts w:ascii="Arial" w:hAnsi="Arial" w:cs="Arial"/>
          <w:color w:val="0070C0"/>
        </w:rPr>
      </w:pPr>
      <w:r w:rsidRPr="003B3321">
        <w:rPr>
          <w:rFonts w:ascii="Arial" w:hAnsi="Arial" w:cs="Arial"/>
          <w:color w:val="0070C0"/>
        </w:rPr>
        <w:t>Patient responses to the survey:</w:t>
      </w:r>
    </w:p>
    <w:p w14:paraId="343773F4" w14:textId="77777777" w:rsidR="007C0FED" w:rsidRPr="00B748E3" w:rsidRDefault="007C0FED" w:rsidP="00DE4BAF">
      <w:pPr>
        <w:pStyle w:val="NormalWeb"/>
        <w:spacing w:line="276" w:lineRule="auto"/>
        <w:rPr>
          <w:rFonts w:ascii="Arial" w:hAnsi="Arial" w:cs="Arial"/>
          <w:color w:val="000000" w:themeColor="text1"/>
        </w:rPr>
      </w:pPr>
      <w:r w:rsidRPr="00B748E3">
        <w:rPr>
          <w:rFonts w:ascii="Arial" w:hAnsi="Arial" w:cs="Arial"/>
          <w:color w:val="000000" w:themeColor="text1"/>
        </w:rPr>
        <w:t>There was only one representative of a patient organisation that responded to the survey but they stated a preference for pharmacogenomic information in the alerts, and the actioned response, to be communicated to them by ‘text or email’, that they would want their doctor to be informed of an alert; interestingly they also communicated a concern over the possible unintended consequence of ‘false alerts’.</w:t>
      </w:r>
    </w:p>
    <w:p w14:paraId="4E682351" w14:textId="77777777" w:rsidR="007C0FED" w:rsidRPr="00B748E3" w:rsidRDefault="007C0FED" w:rsidP="00DE4BAF">
      <w:pPr>
        <w:pStyle w:val="NormalWeb"/>
        <w:spacing w:line="276" w:lineRule="auto"/>
        <w:rPr>
          <w:rFonts w:ascii="Arial" w:hAnsi="Arial" w:cs="Arial"/>
          <w:color w:val="000000" w:themeColor="text1"/>
        </w:rPr>
      </w:pPr>
      <w:r w:rsidRPr="00B748E3">
        <w:rPr>
          <w:rFonts w:ascii="Arial" w:hAnsi="Arial" w:cs="Arial"/>
          <w:color w:val="000000" w:themeColor="text1"/>
        </w:rPr>
        <w:t>Selected output from the consultation survey was used to inform the draft guidance.</w:t>
      </w:r>
    </w:p>
    <w:p w14:paraId="0C1FC5CD" w14:textId="77777777" w:rsidR="007C0FED" w:rsidRPr="004D27A3" w:rsidRDefault="007C0FED" w:rsidP="00DE4BAF">
      <w:pPr>
        <w:pStyle w:val="Heading3"/>
        <w:numPr>
          <w:ilvl w:val="2"/>
          <w:numId w:val="42"/>
        </w:numPr>
        <w:spacing w:line="276" w:lineRule="auto"/>
        <w:ind w:hanging="1224"/>
        <w:rPr>
          <w:rFonts w:ascii="Arial" w:hAnsi="Arial" w:cs="Arial"/>
          <w:color w:val="0070C0"/>
          <w:sz w:val="28"/>
          <w:szCs w:val="28"/>
        </w:rPr>
      </w:pPr>
      <w:bookmarkStart w:id="34" w:name="_Toc31493989"/>
      <w:bookmarkStart w:id="35" w:name="_Toc32874673"/>
      <w:bookmarkStart w:id="36" w:name="_Toc32874814"/>
      <w:r w:rsidRPr="004D27A3">
        <w:rPr>
          <w:rFonts w:ascii="Arial" w:hAnsi="Arial" w:cs="Arial"/>
          <w:color w:val="0070C0"/>
          <w:sz w:val="28"/>
          <w:szCs w:val="28"/>
        </w:rPr>
        <w:t>Twitter Chat with Patient Representatives</w:t>
      </w:r>
      <w:bookmarkEnd w:id="34"/>
      <w:bookmarkEnd w:id="35"/>
      <w:bookmarkEnd w:id="36"/>
    </w:p>
    <w:p w14:paraId="39F4081D" w14:textId="77777777" w:rsidR="007C0FED" w:rsidRPr="00B748E3" w:rsidRDefault="007C0FED" w:rsidP="00DE4BAF">
      <w:pPr>
        <w:pStyle w:val="NormalWeb"/>
        <w:spacing w:line="276" w:lineRule="auto"/>
        <w:rPr>
          <w:rFonts w:ascii="Arial" w:hAnsi="Arial" w:cs="Arial"/>
          <w:bCs/>
          <w:color w:val="000000" w:themeColor="text1"/>
        </w:rPr>
      </w:pPr>
      <w:r w:rsidRPr="00B748E3">
        <w:rPr>
          <w:rFonts w:ascii="Arial" w:hAnsi="Arial" w:cs="Arial"/>
          <w:color w:val="000000" w:themeColor="text1"/>
        </w:rPr>
        <w:t>In order to gather additional patient perspectives, the PRSB organised a twitter chat with patient representatives, entitled ‘What does your clinician need to know about your genes?’, which took place on Monday the 18</w:t>
      </w:r>
      <w:r w:rsidRPr="00B748E3">
        <w:rPr>
          <w:rFonts w:ascii="Arial" w:hAnsi="Arial" w:cs="Arial"/>
          <w:color w:val="000000" w:themeColor="text1"/>
          <w:vertAlign w:val="superscript"/>
        </w:rPr>
        <w:t>th</w:t>
      </w:r>
      <w:r w:rsidRPr="00B748E3">
        <w:rPr>
          <w:rFonts w:ascii="Arial" w:hAnsi="Arial" w:cs="Arial"/>
          <w:color w:val="000000" w:themeColor="text1"/>
        </w:rPr>
        <w:t xml:space="preserve"> November 2019 at 7pm. The five questions asked to spark discussion, and responses can be found in full using the PRSB’s twitter handle @ProfRecordSB.</w:t>
      </w:r>
    </w:p>
    <w:p w14:paraId="61E814AE" w14:textId="77777777" w:rsidR="007C0FED" w:rsidRPr="004D27A3" w:rsidRDefault="007C0FED" w:rsidP="00DE4BAF">
      <w:pPr>
        <w:pStyle w:val="Heading3"/>
        <w:numPr>
          <w:ilvl w:val="2"/>
          <w:numId w:val="42"/>
        </w:numPr>
        <w:spacing w:line="276" w:lineRule="auto"/>
        <w:ind w:hanging="1224"/>
        <w:rPr>
          <w:rFonts w:ascii="Arial" w:hAnsi="Arial" w:cs="Arial"/>
          <w:color w:val="0070C0"/>
          <w:sz w:val="28"/>
          <w:szCs w:val="28"/>
        </w:rPr>
      </w:pPr>
      <w:bookmarkStart w:id="37" w:name="_Toc31493990"/>
      <w:bookmarkStart w:id="38" w:name="_Toc32874674"/>
      <w:bookmarkStart w:id="39" w:name="_Toc32874815"/>
      <w:r w:rsidRPr="004D27A3">
        <w:rPr>
          <w:rFonts w:ascii="Arial" w:hAnsi="Arial" w:cs="Arial"/>
          <w:color w:val="0070C0"/>
          <w:sz w:val="28"/>
          <w:szCs w:val="28"/>
        </w:rPr>
        <w:t>Development of the Initial Draft</w:t>
      </w:r>
      <w:bookmarkEnd w:id="37"/>
      <w:bookmarkEnd w:id="38"/>
      <w:bookmarkEnd w:id="39"/>
    </w:p>
    <w:p w14:paraId="1F6E3061" w14:textId="77777777" w:rsidR="007C0FED" w:rsidRPr="00B748E3" w:rsidRDefault="007C0FED" w:rsidP="00DE4BAF">
      <w:pPr>
        <w:pStyle w:val="NormalWeb"/>
        <w:spacing w:line="276" w:lineRule="auto"/>
        <w:rPr>
          <w:color w:val="1078B9"/>
        </w:rPr>
      </w:pPr>
      <w:r w:rsidRPr="00B748E3">
        <w:rPr>
          <w:rFonts w:ascii="Arial" w:hAnsi="Arial" w:cs="Arial"/>
          <w:color w:val="000000" w:themeColor="text1"/>
        </w:rPr>
        <w:t>The core project team used the outcome data of the consultation process at this stage to inform the first draft of the guidance. This was then followed by a consultation process where guidance was discussed with stakeholders attending the second focus group and with the project board for review and update purposes; additional feedback was also sought from key stakeholders via phone and email.</w:t>
      </w:r>
    </w:p>
    <w:p w14:paraId="6142B28F" w14:textId="77777777" w:rsidR="007C0FED" w:rsidRPr="004D27A3" w:rsidRDefault="007C0FED" w:rsidP="00DE4BAF">
      <w:pPr>
        <w:pStyle w:val="Heading3"/>
        <w:numPr>
          <w:ilvl w:val="2"/>
          <w:numId w:val="42"/>
        </w:numPr>
        <w:spacing w:line="276" w:lineRule="auto"/>
        <w:ind w:hanging="1224"/>
        <w:rPr>
          <w:rFonts w:ascii="Arial" w:hAnsi="Arial" w:cs="Arial"/>
          <w:color w:val="0070C0"/>
          <w:sz w:val="28"/>
          <w:szCs w:val="28"/>
        </w:rPr>
      </w:pPr>
      <w:bookmarkStart w:id="40" w:name="_Toc31493991"/>
      <w:bookmarkStart w:id="41" w:name="_Toc32874675"/>
      <w:bookmarkStart w:id="42" w:name="_Toc32874816"/>
      <w:r w:rsidRPr="004D27A3">
        <w:rPr>
          <w:rFonts w:ascii="Arial" w:hAnsi="Arial" w:cs="Arial"/>
          <w:color w:val="0070C0"/>
          <w:sz w:val="28"/>
          <w:szCs w:val="28"/>
        </w:rPr>
        <w:t xml:space="preserve">Focus </w:t>
      </w:r>
      <w:r>
        <w:rPr>
          <w:rFonts w:ascii="Arial" w:hAnsi="Arial" w:cs="Arial"/>
          <w:color w:val="0070C0"/>
          <w:sz w:val="28"/>
          <w:szCs w:val="28"/>
        </w:rPr>
        <w:t>g</w:t>
      </w:r>
      <w:r w:rsidRPr="004D27A3">
        <w:rPr>
          <w:rFonts w:ascii="Arial" w:hAnsi="Arial" w:cs="Arial"/>
          <w:color w:val="0070C0"/>
          <w:sz w:val="28"/>
          <w:szCs w:val="28"/>
        </w:rPr>
        <w:t xml:space="preserve">roup </w:t>
      </w:r>
      <w:r>
        <w:rPr>
          <w:rFonts w:ascii="Arial" w:hAnsi="Arial" w:cs="Arial"/>
          <w:color w:val="0070C0"/>
          <w:sz w:val="28"/>
          <w:szCs w:val="28"/>
        </w:rPr>
        <w:t>c</w:t>
      </w:r>
      <w:r w:rsidRPr="004D27A3">
        <w:rPr>
          <w:rFonts w:ascii="Arial" w:hAnsi="Arial" w:cs="Arial"/>
          <w:color w:val="0070C0"/>
          <w:sz w:val="28"/>
          <w:szCs w:val="28"/>
        </w:rPr>
        <w:t xml:space="preserve">onsultation </w:t>
      </w:r>
      <w:r>
        <w:rPr>
          <w:rFonts w:ascii="Arial" w:hAnsi="Arial" w:cs="Arial"/>
          <w:color w:val="0070C0"/>
          <w:sz w:val="28"/>
          <w:szCs w:val="28"/>
        </w:rPr>
        <w:t>two</w:t>
      </w:r>
      <w:bookmarkEnd w:id="40"/>
      <w:bookmarkEnd w:id="41"/>
      <w:bookmarkEnd w:id="42"/>
    </w:p>
    <w:p w14:paraId="56C8F010" w14:textId="6F235DF2" w:rsidR="007C0FED" w:rsidRPr="00B748E3" w:rsidRDefault="007C0FED" w:rsidP="00DE4BAF">
      <w:pPr>
        <w:pStyle w:val="DocMgmtSubhead"/>
        <w:spacing w:line="276" w:lineRule="auto"/>
        <w:rPr>
          <w:b w:val="0"/>
          <w:bCs/>
          <w:color w:val="000000" w:themeColor="text1"/>
          <w:sz w:val="24"/>
          <w:szCs w:val="24"/>
        </w:rPr>
      </w:pPr>
      <w:r w:rsidRPr="00B748E3">
        <w:rPr>
          <w:b w:val="0"/>
          <w:bCs/>
          <w:color w:val="1C2640"/>
          <w:sz w:val="24"/>
          <w:szCs w:val="24"/>
        </w:rPr>
        <w:t>The second (larger) focus group meeting took place on the 21</w:t>
      </w:r>
      <w:r w:rsidRPr="00B748E3">
        <w:rPr>
          <w:b w:val="0"/>
          <w:bCs/>
          <w:color w:val="1C2640"/>
          <w:sz w:val="24"/>
          <w:szCs w:val="24"/>
          <w:vertAlign w:val="superscript"/>
        </w:rPr>
        <w:t>st</w:t>
      </w:r>
      <w:r w:rsidRPr="00B748E3">
        <w:rPr>
          <w:b w:val="0"/>
          <w:bCs/>
          <w:color w:val="1C2640"/>
          <w:sz w:val="24"/>
          <w:szCs w:val="24"/>
        </w:rPr>
        <w:t xml:space="preserve"> November 2019 with patient representatives, healthcare professionals, PRSB representatives and members of the project team (attendees are listed i</w:t>
      </w:r>
      <w:r w:rsidR="00F92A62">
        <w:rPr>
          <w:b w:val="0"/>
          <w:bCs/>
          <w:color w:val="1C2640"/>
          <w:sz w:val="24"/>
          <w:szCs w:val="24"/>
        </w:rPr>
        <w:t>n appendix B (separate document).</w:t>
      </w:r>
      <w:r w:rsidRPr="00B748E3">
        <w:rPr>
          <w:b w:val="0"/>
          <w:bCs/>
          <w:color w:val="1C2640"/>
          <w:sz w:val="24"/>
          <w:szCs w:val="24"/>
        </w:rPr>
        <w:t xml:space="preserve">The purpose of this second focus group meeting, conducted as a </w:t>
      </w:r>
      <w:r w:rsidRPr="00B748E3">
        <w:rPr>
          <w:b w:val="0"/>
          <w:bCs/>
          <w:color w:val="1C2640"/>
          <w:sz w:val="24"/>
          <w:szCs w:val="24"/>
        </w:rPr>
        <w:lastRenderedPageBreak/>
        <w:t xml:space="preserve">webinar, was for stakeholders to review and contribute to the draft guidance to ensure that the recommendations were practicable, understandable and fit for purpose. A copy of the draft guidance used for the consultation can be found in </w:t>
      </w:r>
      <w:r w:rsidRPr="00F92A62">
        <w:rPr>
          <w:b w:val="0"/>
          <w:bCs/>
          <w:color w:val="000000" w:themeColor="text1"/>
          <w:sz w:val="24"/>
          <w:szCs w:val="24"/>
        </w:rPr>
        <w:t>a</w:t>
      </w:r>
      <w:r w:rsidRPr="00F92A62">
        <w:rPr>
          <w:rFonts w:cs="Arial"/>
          <w:b w:val="0"/>
          <w:bCs/>
          <w:color w:val="000000" w:themeColor="text1"/>
          <w:sz w:val="24"/>
          <w:szCs w:val="24"/>
        </w:rPr>
        <w:t xml:space="preserve">ppendix </w:t>
      </w:r>
      <w:r w:rsidR="00F92A62" w:rsidRPr="00F92A62">
        <w:rPr>
          <w:rFonts w:cs="Arial"/>
          <w:b w:val="0"/>
          <w:bCs/>
          <w:color w:val="000000" w:themeColor="text1"/>
          <w:sz w:val="24"/>
          <w:szCs w:val="24"/>
        </w:rPr>
        <w:t>G</w:t>
      </w:r>
      <w:r w:rsidRPr="00F92A62">
        <w:rPr>
          <w:rFonts w:cs="Arial"/>
          <w:b w:val="0"/>
          <w:bCs/>
          <w:color w:val="000000" w:themeColor="text1"/>
          <w:sz w:val="24"/>
          <w:szCs w:val="24"/>
        </w:rPr>
        <w:t xml:space="preserve"> (separate document).</w:t>
      </w:r>
    </w:p>
    <w:p w14:paraId="75AE8707" w14:textId="10DC3F9E" w:rsidR="007C0FED" w:rsidRPr="00B748E3" w:rsidRDefault="007C0FED" w:rsidP="00DE4BAF">
      <w:pPr>
        <w:pStyle w:val="DocMgmtSubhead"/>
        <w:spacing w:line="276" w:lineRule="auto"/>
        <w:rPr>
          <w:b w:val="0"/>
          <w:bCs/>
          <w:color w:val="1C2640"/>
          <w:sz w:val="24"/>
          <w:szCs w:val="24"/>
        </w:rPr>
      </w:pPr>
      <w:r w:rsidRPr="00B748E3">
        <w:rPr>
          <w:b w:val="0"/>
          <w:bCs/>
          <w:color w:val="1C2640"/>
          <w:sz w:val="24"/>
          <w:szCs w:val="24"/>
        </w:rPr>
        <w:t xml:space="preserve">In this session facilitators sought the opinions of participants in relation to the draft guidance recommendations and implementation challenges; as well as several clinical scenarios, each in the form of a clinical vignette describing situations involving the prescription of a drug with a relevant drug-gene association along with either pre- or post-test alerts presented in the form of an electronic popup </w:t>
      </w:r>
      <w:r w:rsidRPr="00B748E3">
        <w:rPr>
          <w:b w:val="0"/>
          <w:bCs/>
          <w:color w:val="000000" w:themeColor="text1"/>
          <w:sz w:val="24"/>
          <w:szCs w:val="24"/>
        </w:rPr>
        <w:t>(refer to</w:t>
      </w:r>
      <w:r w:rsidR="00747A09">
        <w:rPr>
          <w:b w:val="0"/>
          <w:bCs/>
          <w:color w:val="000000" w:themeColor="text1"/>
          <w:sz w:val="24"/>
          <w:szCs w:val="24"/>
        </w:rPr>
        <w:t xml:space="preserve"> appendix c (separate document)). </w:t>
      </w:r>
      <w:r w:rsidRPr="00B748E3">
        <w:rPr>
          <w:b w:val="0"/>
          <w:bCs/>
          <w:color w:val="1C2640"/>
          <w:sz w:val="24"/>
          <w:szCs w:val="24"/>
        </w:rPr>
        <w:t>The implementation challenges for discussion included:</w:t>
      </w:r>
    </w:p>
    <w:p w14:paraId="437F02FE" w14:textId="77777777" w:rsidR="007C0FED" w:rsidRPr="00B748E3" w:rsidRDefault="007C0FED" w:rsidP="00DE4BAF">
      <w:pPr>
        <w:pStyle w:val="DocMgmtSubhead"/>
        <w:numPr>
          <w:ilvl w:val="0"/>
          <w:numId w:val="14"/>
        </w:numPr>
        <w:spacing w:line="276" w:lineRule="auto"/>
        <w:rPr>
          <w:b w:val="0"/>
          <w:bCs/>
          <w:color w:val="1C2640"/>
          <w:sz w:val="24"/>
          <w:szCs w:val="24"/>
        </w:rPr>
      </w:pPr>
      <w:r w:rsidRPr="00B748E3">
        <w:rPr>
          <w:b w:val="0"/>
          <w:bCs/>
          <w:color w:val="1C2640"/>
          <w:sz w:val="24"/>
          <w:szCs w:val="24"/>
        </w:rPr>
        <w:t>Alert fatigue</w:t>
      </w:r>
    </w:p>
    <w:p w14:paraId="7AA29007" w14:textId="77777777" w:rsidR="007C0FED" w:rsidRPr="00B748E3" w:rsidRDefault="007C0FED" w:rsidP="00DE4BAF">
      <w:pPr>
        <w:pStyle w:val="DocMgmtSubhead"/>
        <w:numPr>
          <w:ilvl w:val="0"/>
          <w:numId w:val="14"/>
        </w:numPr>
        <w:spacing w:line="276" w:lineRule="auto"/>
        <w:rPr>
          <w:b w:val="0"/>
          <w:bCs/>
          <w:color w:val="1C2640"/>
          <w:sz w:val="24"/>
          <w:szCs w:val="24"/>
        </w:rPr>
      </w:pPr>
      <w:r w:rsidRPr="00B748E3">
        <w:rPr>
          <w:b w:val="0"/>
          <w:bCs/>
          <w:color w:val="1C2640"/>
          <w:sz w:val="24"/>
          <w:szCs w:val="24"/>
        </w:rPr>
        <w:t>Clinician and pharmacist buy-in to pharmacogenomic alerts</w:t>
      </w:r>
    </w:p>
    <w:p w14:paraId="497C60DE" w14:textId="77777777" w:rsidR="007C0FED" w:rsidRPr="00B748E3" w:rsidRDefault="007C0FED" w:rsidP="00DE4BAF">
      <w:pPr>
        <w:pStyle w:val="DocMgmtSubhead"/>
        <w:numPr>
          <w:ilvl w:val="0"/>
          <w:numId w:val="14"/>
        </w:numPr>
        <w:spacing w:line="276" w:lineRule="auto"/>
        <w:rPr>
          <w:b w:val="0"/>
          <w:bCs/>
          <w:color w:val="1C2640"/>
          <w:sz w:val="24"/>
          <w:szCs w:val="24"/>
        </w:rPr>
      </w:pPr>
      <w:r w:rsidRPr="00B748E3">
        <w:rPr>
          <w:b w:val="0"/>
          <w:bCs/>
          <w:color w:val="1C2640"/>
          <w:sz w:val="24"/>
          <w:szCs w:val="24"/>
        </w:rPr>
        <w:t>The influence of other clinical factors e.g. polypharmacy and co-morbidities</w:t>
      </w:r>
    </w:p>
    <w:p w14:paraId="439CF618" w14:textId="77777777" w:rsidR="007C0FED" w:rsidRPr="00B748E3" w:rsidRDefault="007C0FED" w:rsidP="00DE4BAF">
      <w:pPr>
        <w:pStyle w:val="DocMgmtSubhead"/>
        <w:numPr>
          <w:ilvl w:val="0"/>
          <w:numId w:val="14"/>
        </w:numPr>
        <w:spacing w:line="276" w:lineRule="auto"/>
        <w:rPr>
          <w:b w:val="0"/>
          <w:bCs/>
          <w:color w:val="1C2640"/>
          <w:sz w:val="24"/>
          <w:szCs w:val="24"/>
        </w:rPr>
      </w:pPr>
      <w:r w:rsidRPr="00B748E3">
        <w:rPr>
          <w:b w:val="0"/>
          <w:bCs/>
          <w:color w:val="1C2640"/>
          <w:sz w:val="24"/>
          <w:szCs w:val="24"/>
        </w:rPr>
        <w:t>Ensuring the consistent interpretation of guidance in different settings</w:t>
      </w:r>
    </w:p>
    <w:p w14:paraId="7799E190" w14:textId="77777777" w:rsidR="007C0FED" w:rsidRPr="00B748E3" w:rsidRDefault="007C0FED" w:rsidP="00DE4BAF">
      <w:pPr>
        <w:pStyle w:val="DocMgmtSubhead"/>
        <w:numPr>
          <w:ilvl w:val="0"/>
          <w:numId w:val="14"/>
        </w:numPr>
        <w:spacing w:line="276" w:lineRule="auto"/>
        <w:rPr>
          <w:b w:val="0"/>
          <w:bCs/>
          <w:color w:val="1C2640"/>
          <w:sz w:val="24"/>
          <w:szCs w:val="24"/>
        </w:rPr>
      </w:pPr>
      <w:r w:rsidRPr="00B748E3">
        <w:rPr>
          <w:b w:val="0"/>
          <w:bCs/>
          <w:color w:val="1C2640"/>
          <w:sz w:val="24"/>
          <w:szCs w:val="24"/>
        </w:rPr>
        <w:t>The need for education and training in pharmacogenomics</w:t>
      </w:r>
    </w:p>
    <w:p w14:paraId="656F5243" w14:textId="77777777" w:rsidR="007C0FED" w:rsidRPr="00B748E3" w:rsidRDefault="007C0FED" w:rsidP="00DE4BAF">
      <w:pPr>
        <w:pStyle w:val="DocMgmtSubhead"/>
        <w:numPr>
          <w:ilvl w:val="0"/>
          <w:numId w:val="14"/>
        </w:numPr>
        <w:spacing w:line="276" w:lineRule="auto"/>
        <w:rPr>
          <w:b w:val="0"/>
          <w:bCs/>
          <w:color w:val="1C2640"/>
          <w:sz w:val="24"/>
          <w:szCs w:val="24"/>
        </w:rPr>
      </w:pPr>
      <w:r w:rsidRPr="00B748E3">
        <w:rPr>
          <w:b w:val="0"/>
          <w:bCs/>
          <w:color w:val="1C2640"/>
          <w:sz w:val="24"/>
          <w:szCs w:val="24"/>
        </w:rPr>
        <w:t>The development of guidance relating to actionable drug-gene associations</w:t>
      </w:r>
    </w:p>
    <w:p w14:paraId="7AB3C567" w14:textId="77777777" w:rsidR="007C0FED" w:rsidRPr="00B748E3" w:rsidRDefault="007C0FED" w:rsidP="00DE4BAF">
      <w:pPr>
        <w:pStyle w:val="DocMgmtSubhead"/>
        <w:numPr>
          <w:ilvl w:val="0"/>
          <w:numId w:val="14"/>
        </w:numPr>
        <w:spacing w:line="276" w:lineRule="auto"/>
        <w:rPr>
          <w:b w:val="0"/>
          <w:bCs/>
          <w:color w:val="1C2640"/>
          <w:sz w:val="24"/>
          <w:szCs w:val="24"/>
        </w:rPr>
      </w:pPr>
      <w:r w:rsidRPr="00B748E3">
        <w:rPr>
          <w:b w:val="0"/>
          <w:bCs/>
          <w:color w:val="1C2640"/>
          <w:sz w:val="24"/>
          <w:szCs w:val="24"/>
        </w:rPr>
        <w:t>Challenges related to the current capabilities of clinical systems</w:t>
      </w:r>
    </w:p>
    <w:p w14:paraId="5DA9044A" w14:textId="5B363D6A" w:rsidR="007C0FED" w:rsidRPr="00B748E3" w:rsidRDefault="007C0FED" w:rsidP="00DE4BAF">
      <w:pPr>
        <w:pStyle w:val="NormalWeb"/>
        <w:spacing w:line="276" w:lineRule="auto"/>
        <w:rPr>
          <w:rFonts w:ascii="Arial" w:hAnsi="Arial" w:cs="Arial"/>
          <w:bCs/>
          <w:color w:val="000000" w:themeColor="text1"/>
        </w:rPr>
      </w:pPr>
      <w:r w:rsidRPr="00B748E3">
        <w:rPr>
          <w:rFonts w:ascii="Arial" w:hAnsi="Arial" w:cs="Arial"/>
          <w:bCs/>
          <w:color w:val="1C2640"/>
        </w:rPr>
        <w:t>Due to time constraints limiting the discussion on implementation challenges, additional feedback was sought via email. The proceedings were recorded, and the outputs analysed in order to refine and revise the guidance in the light of the findings from the meeting. Selected output from the second focus group consultation, in the form of quotes, can be found i</w:t>
      </w:r>
      <w:r w:rsidR="007C7774">
        <w:rPr>
          <w:rFonts w:ascii="Arial" w:hAnsi="Arial" w:cs="Arial"/>
          <w:bCs/>
          <w:color w:val="1C2640"/>
        </w:rPr>
        <w:t xml:space="preserve">n appendix E (separate document), </w:t>
      </w:r>
      <w:r w:rsidRPr="00B748E3">
        <w:rPr>
          <w:rFonts w:ascii="Arial" w:hAnsi="Arial" w:cs="Arial"/>
          <w:bCs/>
          <w:color w:val="000000" w:themeColor="text1"/>
        </w:rPr>
        <w:t xml:space="preserve">labelled as ‘FG2’ in parentheses. </w:t>
      </w:r>
    </w:p>
    <w:p w14:paraId="38167F19" w14:textId="7960E9EF" w:rsidR="007C0FED" w:rsidRPr="004D27A3" w:rsidRDefault="007C0FED" w:rsidP="00DE4BAF">
      <w:pPr>
        <w:pStyle w:val="Heading2"/>
        <w:numPr>
          <w:ilvl w:val="1"/>
          <w:numId w:val="42"/>
        </w:numPr>
        <w:spacing w:line="276" w:lineRule="auto"/>
        <w:ind w:hanging="792"/>
        <w:rPr>
          <w:rFonts w:ascii="Arial" w:hAnsi="Arial" w:cs="Arial"/>
          <w:color w:val="0070C0"/>
          <w:sz w:val="36"/>
          <w:szCs w:val="36"/>
        </w:rPr>
      </w:pPr>
      <w:bookmarkStart w:id="43" w:name="_Toc31493992"/>
      <w:bookmarkStart w:id="44" w:name="_Toc32874676"/>
      <w:bookmarkStart w:id="45" w:name="_Toc32874817"/>
      <w:r w:rsidRPr="004D27A3">
        <w:rPr>
          <w:rFonts w:ascii="Arial" w:hAnsi="Arial" w:cs="Arial"/>
          <w:color w:val="0070C0"/>
          <w:sz w:val="36"/>
          <w:szCs w:val="36"/>
        </w:rPr>
        <w:t xml:space="preserve">Phase three methods – </w:t>
      </w:r>
      <w:bookmarkEnd w:id="43"/>
      <w:r w:rsidR="007C7774" w:rsidRPr="00952628">
        <w:rPr>
          <w:rFonts w:ascii="Arial" w:hAnsi="Arial" w:cs="Arial"/>
          <w:color w:val="0070C0"/>
          <w:sz w:val="36"/>
          <w:szCs w:val="36"/>
        </w:rPr>
        <w:t>finalising the project deliverables</w:t>
      </w:r>
      <w:bookmarkEnd w:id="44"/>
      <w:bookmarkEnd w:id="45"/>
    </w:p>
    <w:p w14:paraId="5216B15B" w14:textId="77777777" w:rsidR="007C0FED" w:rsidRDefault="007C0FED" w:rsidP="00DE4BAF">
      <w:pPr>
        <w:spacing w:line="276" w:lineRule="auto"/>
        <w:rPr>
          <w:b/>
          <w:bCs/>
          <w:color w:val="92D050"/>
        </w:rPr>
      </w:pPr>
    </w:p>
    <w:p w14:paraId="26B70297" w14:textId="602591E4" w:rsidR="007C0FED" w:rsidRDefault="007C7774" w:rsidP="00DE4BAF">
      <w:pPr>
        <w:pStyle w:val="DocMgmtSubhead"/>
        <w:spacing w:line="276" w:lineRule="auto"/>
        <w:rPr>
          <w:b w:val="0"/>
          <w:bCs/>
          <w:color w:val="1C2640"/>
          <w:sz w:val="24"/>
          <w:szCs w:val="24"/>
        </w:rPr>
      </w:pPr>
      <w:r w:rsidRPr="000C337A">
        <w:rPr>
          <w:b w:val="0"/>
          <w:bCs/>
          <w:color w:val="1C2640"/>
          <w:sz w:val="24"/>
          <w:szCs w:val="24"/>
        </w:rPr>
        <w:t>A further, final, review of the guidance and final report was conducted, which included discussion and feedback by specialists in pharmacy and genomic medicine (See appendix B (separate document) for participants).  Following this a final project team review was conducted to reflect, revise and finalise findings of the report and refine the guidance.</w:t>
      </w:r>
    </w:p>
    <w:p w14:paraId="1C5ABA83" w14:textId="77777777" w:rsidR="007C7774" w:rsidRPr="007C7774" w:rsidRDefault="007C7774" w:rsidP="00DE4BAF">
      <w:pPr>
        <w:pStyle w:val="DocMgmtSubhead"/>
        <w:spacing w:line="276" w:lineRule="auto"/>
        <w:rPr>
          <w:b w:val="0"/>
          <w:bCs/>
          <w:color w:val="1C2640"/>
          <w:sz w:val="24"/>
          <w:szCs w:val="24"/>
        </w:rPr>
      </w:pPr>
    </w:p>
    <w:p w14:paraId="55EB1A9E" w14:textId="77777777" w:rsidR="007C0FED" w:rsidRPr="004D27A3" w:rsidRDefault="007C0FED" w:rsidP="00DE4BAF">
      <w:pPr>
        <w:pStyle w:val="Heading3"/>
        <w:numPr>
          <w:ilvl w:val="2"/>
          <w:numId w:val="42"/>
        </w:numPr>
        <w:spacing w:line="276" w:lineRule="auto"/>
        <w:ind w:hanging="1224"/>
        <w:rPr>
          <w:rFonts w:ascii="Arial" w:hAnsi="Arial" w:cs="Arial"/>
          <w:color w:val="0070C0"/>
          <w:sz w:val="28"/>
          <w:szCs w:val="28"/>
        </w:rPr>
      </w:pPr>
      <w:bookmarkStart w:id="46" w:name="_Toc31493993"/>
      <w:bookmarkStart w:id="47" w:name="_Toc32874677"/>
      <w:bookmarkStart w:id="48" w:name="_Toc32874818"/>
      <w:r w:rsidRPr="004D27A3">
        <w:rPr>
          <w:rFonts w:ascii="Arial" w:hAnsi="Arial" w:cs="Arial"/>
          <w:color w:val="0070C0"/>
          <w:sz w:val="28"/>
          <w:szCs w:val="28"/>
        </w:rPr>
        <w:t>Final Project Deliverables</w:t>
      </w:r>
      <w:bookmarkEnd w:id="46"/>
      <w:bookmarkEnd w:id="47"/>
      <w:bookmarkEnd w:id="48"/>
    </w:p>
    <w:p w14:paraId="37690F58" w14:textId="4DBB061F" w:rsidR="007C0FED" w:rsidRPr="00B748E3" w:rsidRDefault="007C0FED" w:rsidP="00DE4BAF">
      <w:pPr>
        <w:pStyle w:val="NormalWeb"/>
        <w:spacing w:line="276" w:lineRule="auto"/>
        <w:rPr>
          <w:rFonts w:ascii="Arial" w:hAnsi="Arial" w:cs="Arial"/>
          <w:color w:val="000000" w:themeColor="text1"/>
        </w:rPr>
      </w:pPr>
      <w:r w:rsidRPr="00B748E3">
        <w:rPr>
          <w:rFonts w:ascii="Arial" w:hAnsi="Arial" w:cs="Arial"/>
        </w:rPr>
        <w:t xml:space="preserve">The draft guidance was updated following the consultation exercises. </w:t>
      </w:r>
      <w:r>
        <w:rPr>
          <w:rFonts w:ascii="Arial" w:hAnsi="Arial" w:cs="Arial"/>
        </w:rPr>
        <w:t>The</w:t>
      </w:r>
      <w:r w:rsidRPr="00B748E3">
        <w:rPr>
          <w:rFonts w:ascii="Arial" w:hAnsi="Arial" w:cs="Arial"/>
        </w:rPr>
        <w:t xml:space="preserve"> final guidance can be found in </w:t>
      </w:r>
      <w:r w:rsidR="00605CA5">
        <w:rPr>
          <w:rFonts w:ascii="Arial" w:hAnsi="Arial" w:cs="Arial"/>
        </w:rPr>
        <w:t>section 4 of the final report (separate document)</w:t>
      </w:r>
      <w:r w:rsidRPr="00B748E3">
        <w:rPr>
          <w:rFonts w:ascii="Arial" w:hAnsi="Arial" w:cs="Arial"/>
          <w:color w:val="000000" w:themeColor="text1"/>
        </w:rPr>
        <w:t xml:space="preserve">; with </w:t>
      </w:r>
      <w:r>
        <w:rPr>
          <w:rFonts w:ascii="Arial" w:hAnsi="Arial" w:cs="Arial"/>
          <w:color w:val="000000" w:themeColor="text1"/>
        </w:rPr>
        <w:t xml:space="preserve">key </w:t>
      </w:r>
      <w:r>
        <w:rPr>
          <w:rFonts w:ascii="Arial" w:hAnsi="Arial" w:cs="Arial"/>
          <w:color w:val="000000" w:themeColor="text1"/>
        </w:rPr>
        <w:lastRenderedPageBreak/>
        <w:t xml:space="preserve">findings from the consultation and </w:t>
      </w:r>
      <w:r w:rsidRPr="00B748E3">
        <w:rPr>
          <w:rFonts w:ascii="Arial" w:hAnsi="Arial" w:cs="Arial"/>
          <w:color w:val="000000" w:themeColor="text1"/>
        </w:rPr>
        <w:t xml:space="preserve">recommendations for </w:t>
      </w:r>
      <w:r>
        <w:rPr>
          <w:rFonts w:ascii="Arial" w:hAnsi="Arial" w:cs="Arial"/>
          <w:color w:val="000000" w:themeColor="text1"/>
        </w:rPr>
        <w:t xml:space="preserve">implementation and </w:t>
      </w:r>
      <w:r w:rsidRPr="00B748E3">
        <w:rPr>
          <w:rFonts w:ascii="Arial" w:hAnsi="Arial" w:cs="Arial"/>
          <w:color w:val="000000" w:themeColor="text1"/>
        </w:rPr>
        <w:t xml:space="preserve">further work in section 3 </w:t>
      </w:r>
      <w:r w:rsidR="00605CA5">
        <w:rPr>
          <w:rFonts w:ascii="Arial" w:hAnsi="Arial" w:cs="Arial"/>
          <w:color w:val="000000" w:themeColor="text1"/>
        </w:rPr>
        <w:t xml:space="preserve">of the final report (separate document). </w:t>
      </w:r>
    </w:p>
    <w:p w14:paraId="4D13E3ED" w14:textId="547E64AE" w:rsidR="00C14A11" w:rsidRPr="00DE34BC" w:rsidRDefault="00C14A11" w:rsidP="00DE4BAF">
      <w:pPr>
        <w:spacing w:line="276" w:lineRule="auto"/>
        <w:rPr>
          <w:rFonts w:ascii="Arial" w:hAnsi="Arial" w:cs="Arial"/>
        </w:rPr>
      </w:pPr>
    </w:p>
    <w:sectPr w:rsidR="00C14A11" w:rsidRPr="00DE34BC" w:rsidSect="00C14A11">
      <w:headerReference w:type="even" r:id="rId10"/>
      <w:headerReference w:type="default" r:id="rId11"/>
      <w:footerReference w:type="even" r:id="rId12"/>
      <w:footerReference w:type="default" r:id="rId13"/>
      <w:headerReference w:type="first" r:id="rId14"/>
      <w:footerReference w:type="first" r:id="rId15"/>
      <w:footnotePr>
        <w:numFmt w:val="lowerLetter"/>
      </w:footnotePr>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E9782" w14:textId="77777777" w:rsidR="00C77D0E" w:rsidRDefault="00C77D0E" w:rsidP="002640B2">
      <w:r>
        <w:separator/>
      </w:r>
    </w:p>
  </w:endnote>
  <w:endnote w:type="continuationSeparator" w:id="0">
    <w:p w14:paraId="6D957B05" w14:textId="77777777" w:rsidR="00C77D0E" w:rsidRDefault="00C77D0E" w:rsidP="00264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roman"/>
    <w:notTrueType/>
    <w:pitch w:val="default"/>
  </w:font>
  <w:font w:name="Arial,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8DFE6" w14:textId="77777777" w:rsidR="00DE4BAF" w:rsidRDefault="00DE4B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45522" w14:textId="77777777" w:rsidR="00DE4BAF" w:rsidRDefault="00DE4B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0CB2B" w14:textId="77777777" w:rsidR="00DE4BAF" w:rsidRDefault="00DE4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50C64" w14:textId="77777777" w:rsidR="00C77D0E" w:rsidRDefault="00C77D0E" w:rsidP="002640B2">
      <w:r>
        <w:separator/>
      </w:r>
    </w:p>
  </w:footnote>
  <w:footnote w:type="continuationSeparator" w:id="0">
    <w:p w14:paraId="6F713EBC" w14:textId="77777777" w:rsidR="00C77D0E" w:rsidRDefault="00C77D0E" w:rsidP="00264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06831" w14:textId="67B82B5B" w:rsidR="00DE4BAF" w:rsidRDefault="00DE4B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03CF9" w14:textId="1F6420FF" w:rsidR="00DE4BAF" w:rsidRDefault="00DE4B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A9EA5" w14:textId="06578C90" w:rsidR="00DE4BAF" w:rsidRDefault="00DE4B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A741A"/>
    <w:multiLevelType w:val="hybridMultilevel"/>
    <w:tmpl w:val="BB8695F4"/>
    <w:lvl w:ilvl="0" w:tplc="78A6D94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01166"/>
    <w:multiLevelType w:val="hybridMultilevel"/>
    <w:tmpl w:val="477A63B0"/>
    <w:lvl w:ilvl="0" w:tplc="D7A2089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E532F"/>
    <w:multiLevelType w:val="hybridMultilevel"/>
    <w:tmpl w:val="F3860AB2"/>
    <w:lvl w:ilvl="0" w:tplc="08090013">
      <w:start w:val="1"/>
      <w:numFmt w:val="upperRoman"/>
      <w:lvlText w:val="%1."/>
      <w:lvlJc w:val="right"/>
      <w:pPr>
        <w:ind w:left="894" w:hanging="180"/>
      </w:pPr>
      <w:rPr>
        <w:b/>
        <w:bCs/>
        <w:color w:val="0070C0"/>
      </w:rPr>
    </w:lvl>
    <w:lvl w:ilvl="1" w:tplc="E4C2777C">
      <w:start w:val="1"/>
      <w:numFmt w:val="lowerLetter"/>
      <w:lvlText w:val="%2."/>
      <w:lvlJc w:val="left"/>
      <w:pPr>
        <w:ind w:left="1794" w:hanging="360"/>
      </w:pPr>
      <w:rPr>
        <w:b/>
        <w:bCs/>
      </w:r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3" w15:restartNumberingAfterBreak="0">
    <w:nsid w:val="05826CA8"/>
    <w:multiLevelType w:val="hybridMultilevel"/>
    <w:tmpl w:val="8EDAA596"/>
    <w:lvl w:ilvl="0" w:tplc="E998099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A366D7"/>
    <w:multiLevelType w:val="hybridMultilevel"/>
    <w:tmpl w:val="625852FA"/>
    <w:lvl w:ilvl="0" w:tplc="AD22A080">
      <w:start w:val="1"/>
      <w:numFmt w:val="lowerLetter"/>
      <w:lvlText w:val="%1."/>
      <w:lvlJc w:val="left"/>
      <w:pPr>
        <w:ind w:left="720" w:hanging="360"/>
      </w:pPr>
      <w:rPr>
        <w:rFonts w:ascii="Arial" w:hAnsi="Arial" w:cs="Arial" w:hint="default"/>
        <w:b/>
        <w:bCs/>
        <w:color w:val="1B79B7"/>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C07906"/>
    <w:multiLevelType w:val="hybridMultilevel"/>
    <w:tmpl w:val="CBD44160"/>
    <w:lvl w:ilvl="0" w:tplc="40C07D86">
      <w:start w:val="18"/>
      <w:numFmt w:val="decimal"/>
      <w:lvlText w:val="%1."/>
      <w:lvlJc w:val="left"/>
      <w:pPr>
        <w:ind w:left="720" w:hanging="360"/>
      </w:pPr>
      <w:rPr>
        <w:rFonts w:hint="default"/>
        <w:b/>
        <w:bCs/>
        <w:color w:val="1B79B7"/>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753020"/>
    <w:multiLevelType w:val="multilevel"/>
    <w:tmpl w:val="79E0182A"/>
    <w:lvl w:ilvl="0">
      <w:start w:val="17"/>
      <w:numFmt w:val="decimal"/>
      <w:lvlText w:val="%1."/>
      <w:lvlJc w:val="left"/>
      <w:pPr>
        <w:ind w:left="720" w:hanging="360"/>
      </w:pPr>
      <w:rPr>
        <w:rFonts w:hint="default"/>
        <w:b/>
        <w:bCs/>
        <w:color w:val="1B79B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F1301C"/>
    <w:multiLevelType w:val="hybridMultilevel"/>
    <w:tmpl w:val="B67C56B6"/>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15:restartNumberingAfterBreak="0">
    <w:nsid w:val="0EE51D16"/>
    <w:multiLevelType w:val="hybridMultilevel"/>
    <w:tmpl w:val="947830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FB84131"/>
    <w:multiLevelType w:val="hybridMultilevel"/>
    <w:tmpl w:val="9CAA9D14"/>
    <w:lvl w:ilvl="0" w:tplc="A75E5B18">
      <w:start w:val="1"/>
      <w:numFmt w:val="decimal"/>
      <w:lvlText w:val="%1."/>
      <w:lvlJc w:val="left"/>
      <w:pPr>
        <w:ind w:left="720" w:hanging="360"/>
      </w:pPr>
      <w:rPr>
        <w:b/>
        <w:bCs/>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085B43"/>
    <w:multiLevelType w:val="hybridMultilevel"/>
    <w:tmpl w:val="1722D4BE"/>
    <w:lvl w:ilvl="0" w:tplc="070CA91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8F6755"/>
    <w:multiLevelType w:val="hybridMultilevel"/>
    <w:tmpl w:val="0FA69D3A"/>
    <w:lvl w:ilvl="0" w:tplc="B288BB18">
      <w:start w:val="16"/>
      <w:numFmt w:val="decimal"/>
      <w:lvlText w:val="%1."/>
      <w:lvlJc w:val="left"/>
      <w:pPr>
        <w:ind w:left="720" w:hanging="360"/>
      </w:pPr>
      <w:rPr>
        <w:rFonts w:hint="default"/>
        <w:b/>
        <w:bCs/>
        <w:color w:val="1B79B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9F367C"/>
    <w:multiLevelType w:val="hybridMultilevel"/>
    <w:tmpl w:val="4FD2AC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A2079D5"/>
    <w:multiLevelType w:val="hybridMultilevel"/>
    <w:tmpl w:val="C3EEF89A"/>
    <w:lvl w:ilvl="0" w:tplc="D7A2089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FA05CD"/>
    <w:multiLevelType w:val="hybridMultilevel"/>
    <w:tmpl w:val="DCECD5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0F33883"/>
    <w:multiLevelType w:val="hybridMultilevel"/>
    <w:tmpl w:val="5AA8415E"/>
    <w:lvl w:ilvl="0" w:tplc="78A6D94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33140A"/>
    <w:multiLevelType w:val="hybridMultilevel"/>
    <w:tmpl w:val="53705B92"/>
    <w:lvl w:ilvl="0" w:tplc="9B545F1A">
      <w:start w:val="10"/>
      <w:numFmt w:val="decimal"/>
      <w:lvlText w:val="%1."/>
      <w:lvlJc w:val="left"/>
      <w:pPr>
        <w:ind w:left="720" w:hanging="360"/>
      </w:pPr>
      <w:rPr>
        <w:rFonts w:hint="default"/>
        <w:b/>
        <w:bCs/>
        <w:color w:val="1B79B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CE41B5"/>
    <w:multiLevelType w:val="multilevel"/>
    <w:tmpl w:val="C380B368"/>
    <w:lvl w:ilvl="0">
      <w:start w:val="1"/>
      <w:numFmt w:val="decimal"/>
      <w:lvlText w:val="%1."/>
      <w:lvlJc w:val="left"/>
      <w:pPr>
        <w:ind w:left="780" w:hanging="360"/>
      </w:pPr>
      <w:rPr>
        <w:b/>
        <w:bCs/>
        <w:color w:val="0070C0"/>
      </w:rPr>
    </w:lvl>
    <w:lvl w:ilvl="1">
      <w:start w:val="1"/>
      <w:numFmt w:val="decimal"/>
      <w:isLgl/>
      <w:lvlText w:val="%1.%2"/>
      <w:lvlJc w:val="left"/>
      <w:pPr>
        <w:ind w:left="1140" w:hanging="720"/>
      </w:pPr>
      <w:rPr>
        <w:rFonts w:hint="default"/>
      </w:rPr>
    </w:lvl>
    <w:lvl w:ilvl="2">
      <w:start w:val="1"/>
      <w:numFmt w:val="decimal"/>
      <w:isLgl/>
      <w:lvlText w:val="%1.%2.%3"/>
      <w:lvlJc w:val="left"/>
      <w:pPr>
        <w:ind w:left="1500" w:hanging="108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860" w:hanging="1440"/>
      </w:pPr>
      <w:rPr>
        <w:rFonts w:hint="default"/>
      </w:rPr>
    </w:lvl>
    <w:lvl w:ilvl="5">
      <w:start w:val="1"/>
      <w:numFmt w:val="decimal"/>
      <w:isLgl/>
      <w:lvlText w:val="%1.%2.%3.%4.%5.%6"/>
      <w:lvlJc w:val="left"/>
      <w:pPr>
        <w:ind w:left="2220" w:hanging="1800"/>
      </w:pPr>
      <w:rPr>
        <w:rFonts w:hint="default"/>
      </w:rPr>
    </w:lvl>
    <w:lvl w:ilvl="6">
      <w:start w:val="1"/>
      <w:numFmt w:val="decimal"/>
      <w:isLgl/>
      <w:lvlText w:val="%1.%2.%3.%4.%5.%6.%7"/>
      <w:lvlJc w:val="left"/>
      <w:pPr>
        <w:ind w:left="2580" w:hanging="2160"/>
      </w:pPr>
      <w:rPr>
        <w:rFonts w:hint="default"/>
      </w:rPr>
    </w:lvl>
    <w:lvl w:ilvl="7">
      <w:start w:val="1"/>
      <w:numFmt w:val="decimal"/>
      <w:isLgl/>
      <w:lvlText w:val="%1.%2.%3.%4.%5.%6.%7.%8"/>
      <w:lvlJc w:val="left"/>
      <w:pPr>
        <w:ind w:left="2940" w:hanging="2520"/>
      </w:pPr>
      <w:rPr>
        <w:rFonts w:hint="default"/>
      </w:rPr>
    </w:lvl>
    <w:lvl w:ilvl="8">
      <w:start w:val="1"/>
      <w:numFmt w:val="decimal"/>
      <w:isLgl/>
      <w:lvlText w:val="%1.%2.%3.%4.%5.%6.%7.%8.%9"/>
      <w:lvlJc w:val="left"/>
      <w:pPr>
        <w:ind w:left="2940" w:hanging="2520"/>
      </w:pPr>
      <w:rPr>
        <w:rFonts w:hint="default"/>
      </w:rPr>
    </w:lvl>
  </w:abstractNum>
  <w:abstractNum w:abstractNumId="18" w15:restartNumberingAfterBreak="0">
    <w:nsid w:val="25B263DB"/>
    <w:multiLevelType w:val="hybridMultilevel"/>
    <w:tmpl w:val="039CE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73B41FD"/>
    <w:multiLevelType w:val="hybridMultilevel"/>
    <w:tmpl w:val="F5A8E3D6"/>
    <w:lvl w:ilvl="0" w:tplc="39969DB6">
      <w:start w:val="1"/>
      <w:numFmt w:val="decimal"/>
      <w:lvlText w:val="%1."/>
      <w:lvlJc w:val="left"/>
      <w:pPr>
        <w:ind w:left="360" w:hanging="360"/>
      </w:pPr>
      <w:rPr>
        <w:b/>
        <w:bCs/>
        <w:color w:val="0070C0"/>
      </w:rPr>
    </w:lvl>
    <w:lvl w:ilvl="1" w:tplc="B6FED900">
      <w:start w:val="1"/>
      <w:numFmt w:val="lowerLetter"/>
      <w:lvlText w:val="%2."/>
      <w:lvlJc w:val="left"/>
      <w:pPr>
        <w:ind w:left="1080" w:hanging="360"/>
      </w:pPr>
      <w:rPr>
        <w:b/>
        <w:bCs/>
        <w:color w:val="0070C0"/>
      </w:rPr>
    </w:lvl>
    <w:lvl w:ilvl="2" w:tplc="39C20F20">
      <w:start w:val="1"/>
      <w:numFmt w:val="lowerRoman"/>
      <w:lvlText w:val="%3."/>
      <w:lvlJc w:val="right"/>
      <w:pPr>
        <w:ind w:left="1800" w:hanging="180"/>
      </w:pPr>
      <w:rPr>
        <w:b/>
        <w:bCs/>
        <w:color w:val="0070C0"/>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8341531"/>
    <w:multiLevelType w:val="hybridMultilevel"/>
    <w:tmpl w:val="7CE84B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84B119A"/>
    <w:multiLevelType w:val="multilevel"/>
    <w:tmpl w:val="0809001F"/>
    <w:numStyleLink w:val="111111"/>
  </w:abstractNum>
  <w:abstractNum w:abstractNumId="22" w15:restartNumberingAfterBreak="0">
    <w:nsid w:val="2A4E20B7"/>
    <w:multiLevelType w:val="hybridMultilevel"/>
    <w:tmpl w:val="8B6656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A9C692F"/>
    <w:multiLevelType w:val="hybridMultilevel"/>
    <w:tmpl w:val="F0C69DBE"/>
    <w:lvl w:ilvl="0" w:tplc="0809001B">
      <w:start w:val="1"/>
      <w:numFmt w:val="lowerRoman"/>
      <w:lvlText w:val="%1."/>
      <w:lvlJc w:val="righ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BB21214"/>
    <w:multiLevelType w:val="hybridMultilevel"/>
    <w:tmpl w:val="4B0C9E88"/>
    <w:lvl w:ilvl="0" w:tplc="2FF05FD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ED25968"/>
    <w:multiLevelType w:val="multilevel"/>
    <w:tmpl w:val="0809001F"/>
    <w:numStyleLink w:val="111111"/>
  </w:abstractNum>
  <w:abstractNum w:abstractNumId="26" w15:restartNumberingAfterBreak="0">
    <w:nsid w:val="30F314E7"/>
    <w:multiLevelType w:val="hybridMultilevel"/>
    <w:tmpl w:val="1EAC2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1652943"/>
    <w:multiLevelType w:val="hybridMultilevel"/>
    <w:tmpl w:val="3B0C9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3A61679"/>
    <w:multiLevelType w:val="hybridMultilevel"/>
    <w:tmpl w:val="FD7ABFE8"/>
    <w:lvl w:ilvl="0" w:tplc="08090001">
      <w:start w:val="1"/>
      <w:numFmt w:val="bullet"/>
      <w:lvlText w:val=""/>
      <w:lvlJc w:val="left"/>
      <w:pPr>
        <w:ind w:left="1074" w:hanging="360"/>
      </w:pPr>
      <w:rPr>
        <w:rFonts w:ascii="Symbol" w:hAnsi="Symbol" w:hint="default"/>
        <w:b/>
        <w:bCs/>
        <w:color w:val="0070C0"/>
      </w:rPr>
    </w:lvl>
    <w:lvl w:ilvl="1" w:tplc="E4C2777C">
      <w:start w:val="1"/>
      <w:numFmt w:val="lowerLetter"/>
      <w:lvlText w:val="%2."/>
      <w:lvlJc w:val="left"/>
      <w:pPr>
        <w:ind w:left="1794" w:hanging="360"/>
      </w:pPr>
      <w:rPr>
        <w:b/>
        <w:bCs/>
      </w:r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9" w15:restartNumberingAfterBreak="0">
    <w:nsid w:val="39913434"/>
    <w:multiLevelType w:val="hybridMultilevel"/>
    <w:tmpl w:val="C7D25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F031A69"/>
    <w:multiLevelType w:val="hybridMultilevel"/>
    <w:tmpl w:val="7D78CB62"/>
    <w:lvl w:ilvl="0" w:tplc="78A6D94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0004CD"/>
    <w:multiLevelType w:val="hybridMultilevel"/>
    <w:tmpl w:val="C5DC10D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09A0FEB"/>
    <w:multiLevelType w:val="hybridMultilevel"/>
    <w:tmpl w:val="F682A32C"/>
    <w:lvl w:ilvl="0" w:tplc="634E046E">
      <w:start w:val="1"/>
      <w:numFmt w:val="bullet"/>
      <w:lvlText w:val=""/>
      <w:lvlJc w:val="left"/>
      <w:pPr>
        <w:ind w:left="720" w:hanging="360"/>
      </w:pPr>
      <w:rPr>
        <w:rFonts w:ascii="Symbol" w:hAnsi="Symbol"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1273BD6"/>
    <w:multiLevelType w:val="hybridMultilevel"/>
    <w:tmpl w:val="95FC8926"/>
    <w:lvl w:ilvl="0" w:tplc="78A6D94E">
      <w:start w:val="1"/>
      <w:numFmt w:val="bullet"/>
      <w:lvlText w:val=""/>
      <w:lvlJc w:val="left"/>
      <w:pPr>
        <w:ind w:left="720" w:hanging="360"/>
      </w:pPr>
      <w:rPr>
        <w:rFonts w:ascii="Symbol" w:hAnsi="Symbol" w:hint="default"/>
        <w:color w:val="000000" w:themeColor="text1"/>
      </w:rPr>
    </w:lvl>
    <w:lvl w:ilvl="1" w:tplc="0809000F">
      <w:start w:val="1"/>
      <w:numFmt w:val="decimal"/>
      <w:lvlText w:val="%2."/>
      <w:lvlJc w:val="left"/>
      <w:pPr>
        <w:ind w:left="1440" w:hanging="360"/>
      </w:pPr>
      <w:rPr>
        <w:rFonts w:hint="default"/>
        <w:b/>
        <w:bCs/>
        <w:color w:val="0070C0"/>
        <w:sz w:val="38"/>
        <w:szCs w:val="38"/>
      </w:rPr>
    </w:lvl>
    <w:lvl w:ilvl="2" w:tplc="4F40DAB0" w:tentative="1">
      <w:start w:val="1"/>
      <w:numFmt w:val="decimal"/>
      <w:lvlText w:val="%3."/>
      <w:lvlJc w:val="left"/>
      <w:pPr>
        <w:tabs>
          <w:tab w:val="num" w:pos="2160"/>
        </w:tabs>
        <w:ind w:left="2160" w:hanging="360"/>
      </w:pPr>
    </w:lvl>
    <w:lvl w:ilvl="3" w:tplc="54B8ADEE" w:tentative="1">
      <w:start w:val="1"/>
      <w:numFmt w:val="decimal"/>
      <w:lvlText w:val="%4."/>
      <w:lvlJc w:val="left"/>
      <w:pPr>
        <w:tabs>
          <w:tab w:val="num" w:pos="2880"/>
        </w:tabs>
        <w:ind w:left="2880" w:hanging="360"/>
      </w:pPr>
    </w:lvl>
    <w:lvl w:ilvl="4" w:tplc="312A6E4E" w:tentative="1">
      <w:start w:val="1"/>
      <w:numFmt w:val="decimal"/>
      <w:lvlText w:val="%5."/>
      <w:lvlJc w:val="left"/>
      <w:pPr>
        <w:tabs>
          <w:tab w:val="num" w:pos="3600"/>
        </w:tabs>
        <w:ind w:left="3600" w:hanging="360"/>
      </w:pPr>
    </w:lvl>
    <w:lvl w:ilvl="5" w:tplc="3CDC27F8" w:tentative="1">
      <w:start w:val="1"/>
      <w:numFmt w:val="decimal"/>
      <w:lvlText w:val="%6."/>
      <w:lvlJc w:val="left"/>
      <w:pPr>
        <w:tabs>
          <w:tab w:val="num" w:pos="4320"/>
        </w:tabs>
        <w:ind w:left="4320" w:hanging="360"/>
      </w:pPr>
    </w:lvl>
    <w:lvl w:ilvl="6" w:tplc="C26E8F2A" w:tentative="1">
      <w:start w:val="1"/>
      <w:numFmt w:val="decimal"/>
      <w:lvlText w:val="%7."/>
      <w:lvlJc w:val="left"/>
      <w:pPr>
        <w:tabs>
          <w:tab w:val="num" w:pos="5040"/>
        </w:tabs>
        <w:ind w:left="5040" w:hanging="360"/>
      </w:pPr>
    </w:lvl>
    <w:lvl w:ilvl="7" w:tplc="ABB60418" w:tentative="1">
      <w:start w:val="1"/>
      <w:numFmt w:val="decimal"/>
      <w:lvlText w:val="%8."/>
      <w:lvlJc w:val="left"/>
      <w:pPr>
        <w:tabs>
          <w:tab w:val="num" w:pos="5760"/>
        </w:tabs>
        <w:ind w:left="5760" w:hanging="360"/>
      </w:pPr>
    </w:lvl>
    <w:lvl w:ilvl="8" w:tplc="657A81AA" w:tentative="1">
      <w:start w:val="1"/>
      <w:numFmt w:val="decimal"/>
      <w:lvlText w:val="%9."/>
      <w:lvlJc w:val="left"/>
      <w:pPr>
        <w:tabs>
          <w:tab w:val="num" w:pos="6480"/>
        </w:tabs>
        <w:ind w:left="6480" w:hanging="360"/>
      </w:pPr>
    </w:lvl>
  </w:abstractNum>
  <w:abstractNum w:abstractNumId="34" w15:restartNumberingAfterBreak="0">
    <w:nsid w:val="45175508"/>
    <w:multiLevelType w:val="hybridMultilevel"/>
    <w:tmpl w:val="D7BA7F08"/>
    <w:lvl w:ilvl="0" w:tplc="F7D09B1A">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6AE502D"/>
    <w:multiLevelType w:val="hybridMultilevel"/>
    <w:tmpl w:val="4B2AE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77B7E31"/>
    <w:multiLevelType w:val="hybridMultilevel"/>
    <w:tmpl w:val="EF4CE6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83966BD"/>
    <w:multiLevelType w:val="hybridMultilevel"/>
    <w:tmpl w:val="E6329B14"/>
    <w:lvl w:ilvl="0" w:tplc="1E76FEC0">
      <w:start w:val="1"/>
      <w:numFmt w:val="lowerLetter"/>
      <w:lvlText w:val="%1."/>
      <w:lvlJc w:val="left"/>
      <w:pPr>
        <w:ind w:left="720" w:hanging="360"/>
      </w:pPr>
      <w:rPr>
        <w:rFonts w:ascii="Arial" w:hAnsi="Arial" w:cs="Arial" w:hint="default"/>
        <w:b/>
        <w:bCs/>
        <w:color w:val="1B79B7"/>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8AB1EC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D0211FF"/>
    <w:multiLevelType w:val="hybridMultilevel"/>
    <w:tmpl w:val="3000E0CC"/>
    <w:lvl w:ilvl="0" w:tplc="D7A2089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E2D4CC4"/>
    <w:multiLevelType w:val="hybridMultilevel"/>
    <w:tmpl w:val="B74C732A"/>
    <w:lvl w:ilvl="0" w:tplc="8100777A">
      <w:start w:val="1"/>
      <w:numFmt w:val="decimal"/>
      <w:lvlText w:val="%1."/>
      <w:lvlJc w:val="left"/>
      <w:pPr>
        <w:ind w:left="720" w:hanging="360"/>
      </w:pPr>
      <w:rPr>
        <w:rFonts w:hint="default"/>
        <w:b/>
        <w:bCs/>
        <w:color w:val="1B79B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F441DB7"/>
    <w:multiLevelType w:val="hybridMultilevel"/>
    <w:tmpl w:val="7786B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FE70E77"/>
    <w:multiLevelType w:val="multilevel"/>
    <w:tmpl w:val="0809001F"/>
    <w:numStyleLink w:val="111111"/>
  </w:abstractNum>
  <w:abstractNum w:abstractNumId="43" w15:restartNumberingAfterBreak="0">
    <w:nsid w:val="515A27A2"/>
    <w:multiLevelType w:val="hybridMultilevel"/>
    <w:tmpl w:val="B17EA030"/>
    <w:lvl w:ilvl="0" w:tplc="08090019">
      <w:start w:val="1"/>
      <w:numFmt w:val="lowerLetter"/>
      <w:lvlText w:val="%1."/>
      <w:lvlJc w:val="left"/>
      <w:pPr>
        <w:ind w:left="720" w:hanging="360"/>
      </w:pPr>
      <w:rPr>
        <w:rFonts w:hint="default"/>
        <w:b/>
        <w:bCs/>
        <w:i w:val="0"/>
        <w:iCs w:val="0"/>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40333C0"/>
    <w:multiLevelType w:val="hybridMultilevel"/>
    <w:tmpl w:val="EA824560"/>
    <w:lvl w:ilvl="0" w:tplc="D5A48A80">
      <w:start w:val="1"/>
      <w:numFmt w:val="decimal"/>
      <w:lvlText w:val="%1."/>
      <w:lvlJc w:val="left"/>
      <w:pPr>
        <w:ind w:left="720" w:hanging="360"/>
      </w:pPr>
      <w:rPr>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4727334"/>
    <w:multiLevelType w:val="hybridMultilevel"/>
    <w:tmpl w:val="AA54C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76A4549"/>
    <w:multiLevelType w:val="hybridMultilevel"/>
    <w:tmpl w:val="67B4D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9322BD7"/>
    <w:multiLevelType w:val="multilevel"/>
    <w:tmpl w:val="FEB27E3C"/>
    <w:lvl w:ilvl="0">
      <w:start w:val="1"/>
      <w:numFmt w:val="decimal"/>
      <w:lvlText w:val="%1."/>
      <w:lvlJc w:val="left"/>
      <w:pPr>
        <w:ind w:left="720" w:hanging="720"/>
      </w:pPr>
      <w:rPr>
        <w:rFonts w:hint="default"/>
      </w:rPr>
    </w:lvl>
    <w:lvl w:ilvl="1">
      <w:start w:val="1"/>
      <w:numFmt w:val="decimal"/>
      <w:isLgl/>
      <w:lvlText w:val="%1.%2"/>
      <w:lvlJc w:val="left"/>
      <w:pPr>
        <w:ind w:left="1944" w:hanging="720"/>
      </w:pPr>
      <w:rPr>
        <w:rFonts w:hint="default"/>
      </w:rPr>
    </w:lvl>
    <w:lvl w:ilvl="2">
      <w:start w:val="1"/>
      <w:numFmt w:val="decimal"/>
      <w:isLgl/>
      <w:lvlText w:val="%1.%2.%3"/>
      <w:lvlJc w:val="left"/>
      <w:pPr>
        <w:ind w:left="3168" w:hanging="720"/>
      </w:pPr>
      <w:rPr>
        <w:rFonts w:hint="default"/>
      </w:rPr>
    </w:lvl>
    <w:lvl w:ilvl="3">
      <w:start w:val="1"/>
      <w:numFmt w:val="decimal"/>
      <w:isLgl/>
      <w:lvlText w:val="%1.%2.%3.%4"/>
      <w:lvlJc w:val="left"/>
      <w:pPr>
        <w:ind w:left="4752" w:hanging="1080"/>
      </w:pPr>
      <w:rPr>
        <w:rFonts w:hint="default"/>
      </w:rPr>
    </w:lvl>
    <w:lvl w:ilvl="4">
      <w:start w:val="1"/>
      <w:numFmt w:val="decimal"/>
      <w:isLgl/>
      <w:lvlText w:val="%1.%2.%3.%4.%5"/>
      <w:lvlJc w:val="left"/>
      <w:pPr>
        <w:ind w:left="6336" w:hanging="1440"/>
      </w:pPr>
      <w:rPr>
        <w:rFonts w:hint="default"/>
      </w:rPr>
    </w:lvl>
    <w:lvl w:ilvl="5">
      <w:start w:val="1"/>
      <w:numFmt w:val="decimal"/>
      <w:isLgl/>
      <w:lvlText w:val="%1.%2.%3.%4.%5.%6"/>
      <w:lvlJc w:val="left"/>
      <w:pPr>
        <w:ind w:left="7560" w:hanging="1440"/>
      </w:pPr>
      <w:rPr>
        <w:rFonts w:hint="default"/>
      </w:rPr>
    </w:lvl>
    <w:lvl w:ilvl="6">
      <w:start w:val="1"/>
      <w:numFmt w:val="decimal"/>
      <w:isLgl/>
      <w:lvlText w:val="%1.%2.%3.%4.%5.%6.%7"/>
      <w:lvlJc w:val="left"/>
      <w:pPr>
        <w:ind w:left="9144" w:hanging="1800"/>
      </w:pPr>
      <w:rPr>
        <w:rFonts w:hint="default"/>
      </w:rPr>
    </w:lvl>
    <w:lvl w:ilvl="7">
      <w:start w:val="1"/>
      <w:numFmt w:val="decimal"/>
      <w:isLgl/>
      <w:lvlText w:val="%1.%2.%3.%4.%5.%6.%7.%8"/>
      <w:lvlJc w:val="left"/>
      <w:pPr>
        <w:ind w:left="10368" w:hanging="1800"/>
      </w:pPr>
      <w:rPr>
        <w:rFonts w:hint="default"/>
      </w:rPr>
    </w:lvl>
    <w:lvl w:ilvl="8">
      <w:start w:val="1"/>
      <w:numFmt w:val="decimal"/>
      <w:isLgl/>
      <w:lvlText w:val="%1.%2.%3.%4.%5.%6.%7.%8.%9"/>
      <w:lvlJc w:val="left"/>
      <w:pPr>
        <w:ind w:left="11952" w:hanging="2160"/>
      </w:pPr>
      <w:rPr>
        <w:rFonts w:hint="default"/>
      </w:rPr>
    </w:lvl>
  </w:abstractNum>
  <w:abstractNum w:abstractNumId="48" w15:restartNumberingAfterBreak="0">
    <w:nsid w:val="59AC6BF8"/>
    <w:multiLevelType w:val="hybridMultilevel"/>
    <w:tmpl w:val="0D76A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ED312E2"/>
    <w:multiLevelType w:val="hybridMultilevel"/>
    <w:tmpl w:val="D1589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1B94937"/>
    <w:multiLevelType w:val="multilevel"/>
    <w:tmpl w:val="1CE2874E"/>
    <w:lvl w:ilvl="0">
      <w:start w:val="2"/>
      <w:numFmt w:val="decimal"/>
      <w:lvlText w:val="%1"/>
      <w:lvlJc w:val="left"/>
      <w:pPr>
        <w:ind w:left="500" w:hanging="5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1" w15:restartNumberingAfterBreak="0">
    <w:nsid w:val="64920590"/>
    <w:multiLevelType w:val="hybridMultilevel"/>
    <w:tmpl w:val="0A3871BA"/>
    <w:lvl w:ilvl="0" w:tplc="85E2CC38">
      <w:start w:val="1"/>
      <w:numFmt w:val="decimal"/>
      <w:lvlText w:val="%1."/>
      <w:lvlJc w:val="left"/>
      <w:pPr>
        <w:ind w:left="720" w:hanging="360"/>
      </w:pPr>
      <w:rPr>
        <w:rFonts w:hint="default"/>
        <w:b/>
        <w:bCs/>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9511F85"/>
    <w:multiLevelType w:val="hybridMultilevel"/>
    <w:tmpl w:val="BEA09EAA"/>
    <w:lvl w:ilvl="0" w:tplc="D5A48A80">
      <w:start w:val="1"/>
      <w:numFmt w:val="decimal"/>
      <w:lvlText w:val="%1."/>
      <w:lvlJc w:val="left"/>
      <w:pPr>
        <w:ind w:left="720" w:hanging="360"/>
      </w:pPr>
      <w:rPr>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9AE0681"/>
    <w:multiLevelType w:val="hybridMultilevel"/>
    <w:tmpl w:val="78049002"/>
    <w:lvl w:ilvl="0" w:tplc="78A6D94E">
      <w:start w:val="1"/>
      <w:numFmt w:val="bullet"/>
      <w:lvlText w:val=""/>
      <w:lvlJc w:val="left"/>
      <w:pPr>
        <w:ind w:left="720" w:hanging="360"/>
      </w:pPr>
      <w:rPr>
        <w:rFonts w:ascii="Symbol" w:hAnsi="Symbol" w:hint="default"/>
        <w:color w:val="000000" w:themeColor="text1"/>
      </w:rPr>
    </w:lvl>
    <w:lvl w:ilvl="1" w:tplc="645C8032" w:tentative="1">
      <w:start w:val="1"/>
      <w:numFmt w:val="decimal"/>
      <w:lvlText w:val="%2."/>
      <w:lvlJc w:val="left"/>
      <w:pPr>
        <w:tabs>
          <w:tab w:val="num" w:pos="1440"/>
        </w:tabs>
        <w:ind w:left="1440" w:hanging="360"/>
      </w:pPr>
    </w:lvl>
    <w:lvl w:ilvl="2" w:tplc="79A06D0E" w:tentative="1">
      <w:start w:val="1"/>
      <w:numFmt w:val="decimal"/>
      <w:lvlText w:val="%3."/>
      <w:lvlJc w:val="left"/>
      <w:pPr>
        <w:tabs>
          <w:tab w:val="num" w:pos="2160"/>
        </w:tabs>
        <w:ind w:left="2160" w:hanging="360"/>
      </w:pPr>
    </w:lvl>
    <w:lvl w:ilvl="3" w:tplc="2A369F30" w:tentative="1">
      <w:start w:val="1"/>
      <w:numFmt w:val="decimal"/>
      <w:lvlText w:val="%4."/>
      <w:lvlJc w:val="left"/>
      <w:pPr>
        <w:tabs>
          <w:tab w:val="num" w:pos="2880"/>
        </w:tabs>
        <w:ind w:left="2880" w:hanging="360"/>
      </w:pPr>
    </w:lvl>
    <w:lvl w:ilvl="4" w:tplc="6DEC8CD2" w:tentative="1">
      <w:start w:val="1"/>
      <w:numFmt w:val="decimal"/>
      <w:lvlText w:val="%5."/>
      <w:lvlJc w:val="left"/>
      <w:pPr>
        <w:tabs>
          <w:tab w:val="num" w:pos="3600"/>
        </w:tabs>
        <w:ind w:left="3600" w:hanging="360"/>
      </w:pPr>
    </w:lvl>
    <w:lvl w:ilvl="5" w:tplc="FCFE5EDC" w:tentative="1">
      <w:start w:val="1"/>
      <w:numFmt w:val="decimal"/>
      <w:lvlText w:val="%6."/>
      <w:lvlJc w:val="left"/>
      <w:pPr>
        <w:tabs>
          <w:tab w:val="num" w:pos="4320"/>
        </w:tabs>
        <w:ind w:left="4320" w:hanging="360"/>
      </w:pPr>
    </w:lvl>
    <w:lvl w:ilvl="6" w:tplc="B9D6F79A" w:tentative="1">
      <w:start w:val="1"/>
      <w:numFmt w:val="decimal"/>
      <w:lvlText w:val="%7."/>
      <w:lvlJc w:val="left"/>
      <w:pPr>
        <w:tabs>
          <w:tab w:val="num" w:pos="5040"/>
        </w:tabs>
        <w:ind w:left="5040" w:hanging="360"/>
      </w:pPr>
    </w:lvl>
    <w:lvl w:ilvl="7" w:tplc="85F45316" w:tentative="1">
      <w:start w:val="1"/>
      <w:numFmt w:val="decimal"/>
      <w:lvlText w:val="%8."/>
      <w:lvlJc w:val="left"/>
      <w:pPr>
        <w:tabs>
          <w:tab w:val="num" w:pos="5760"/>
        </w:tabs>
        <w:ind w:left="5760" w:hanging="360"/>
      </w:pPr>
    </w:lvl>
    <w:lvl w:ilvl="8" w:tplc="FDE4AD42" w:tentative="1">
      <w:start w:val="1"/>
      <w:numFmt w:val="decimal"/>
      <w:lvlText w:val="%9."/>
      <w:lvlJc w:val="left"/>
      <w:pPr>
        <w:tabs>
          <w:tab w:val="num" w:pos="6480"/>
        </w:tabs>
        <w:ind w:left="6480" w:hanging="360"/>
      </w:pPr>
    </w:lvl>
  </w:abstractNum>
  <w:abstractNum w:abstractNumId="54" w15:restartNumberingAfterBreak="0">
    <w:nsid w:val="6B5A2B8C"/>
    <w:multiLevelType w:val="hybridMultilevel"/>
    <w:tmpl w:val="A20C2F24"/>
    <w:lvl w:ilvl="0" w:tplc="F3000B8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E1B61F3"/>
    <w:multiLevelType w:val="hybridMultilevel"/>
    <w:tmpl w:val="144E52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F001C32"/>
    <w:multiLevelType w:val="hybridMultilevel"/>
    <w:tmpl w:val="A30CB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34206F6"/>
    <w:multiLevelType w:val="hybridMultilevel"/>
    <w:tmpl w:val="41E8BAC6"/>
    <w:lvl w:ilvl="0" w:tplc="EDBE1428">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4E8452A"/>
    <w:multiLevelType w:val="hybridMultilevel"/>
    <w:tmpl w:val="E6329B14"/>
    <w:lvl w:ilvl="0" w:tplc="1E76FEC0">
      <w:start w:val="1"/>
      <w:numFmt w:val="lowerLetter"/>
      <w:lvlText w:val="%1."/>
      <w:lvlJc w:val="left"/>
      <w:pPr>
        <w:ind w:left="720" w:hanging="360"/>
      </w:pPr>
      <w:rPr>
        <w:rFonts w:ascii="Arial" w:hAnsi="Arial" w:cs="Arial" w:hint="default"/>
        <w:b/>
        <w:bCs/>
        <w:color w:val="1B79B7"/>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6295EEB"/>
    <w:multiLevelType w:val="hybridMultilevel"/>
    <w:tmpl w:val="38FEE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7611138"/>
    <w:multiLevelType w:val="hybridMultilevel"/>
    <w:tmpl w:val="76F03B90"/>
    <w:lvl w:ilvl="0" w:tplc="AD22A080">
      <w:start w:val="1"/>
      <w:numFmt w:val="lowerLetter"/>
      <w:lvlText w:val="%1."/>
      <w:lvlJc w:val="left"/>
      <w:pPr>
        <w:ind w:left="720" w:hanging="360"/>
      </w:pPr>
      <w:rPr>
        <w:rFonts w:ascii="Arial" w:hAnsi="Arial" w:cs="Arial" w:hint="default"/>
        <w:b/>
        <w:bCs/>
        <w:color w:val="1B79B7"/>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86B67F1"/>
    <w:multiLevelType w:val="multilevel"/>
    <w:tmpl w:val="A4002CFE"/>
    <w:lvl w:ilvl="0">
      <w:start w:val="19"/>
      <w:numFmt w:val="decimal"/>
      <w:lvlText w:val="%1."/>
      <w:lvlJc w:val="left"/>
      <w:pPr>
        <w:ind w:left="720" w:hanging="360"/>
      </w:pPr>
      <w:rPr>
        <w:rFonts w:hint="default"/>
        <w:b/>
        <w:bCs/>
        <w:color w:val="1B79B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A2C3E62"/>
    <w:multiLevelType w:val="hybridMultilevel"/>
    <w:tmpl w:val="014E5F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B3A440A"/>
    <w:multiLevelType w:val="hybridMultilevel"/>
    <w:tmpl w:val="83D4BF7E"/>
    <w:lvl w:ilvl="0" w:tplc="CA56E466">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BA54A0F"/>
    <w:multiLevelType w:val="hybridMultilevel"/>
    <w:tmpl w:val="AAE0D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BB76D58"/>
    <w:multiLevelType w:val="hybridMultilevel"/>
    <w:tmpl w:val="EADC89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7DFE52F7"/>
    <w:multiLevelType w:val="hybridMultilevel"/>
    <w:tmpl w:val="F0C69DBE"/>
    <w:lvl w:ilvl="0" w:tplc="0809001B">
      <w:start w:val="1"/>
      <w:numFmt w:val="lowerRoman"/>
      <w:lvlText w:val="%1."/>
      <w:lvlJc w:val="righ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EE43257"/>
    <w:multiLevelType w:val="hybridMultilevel"/>
    <w:tmpl w:val="99B8C02C"/>
    <w:lvl w:ilvl="0" w:tplc="ECF8758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67"/>
  </w:num>
  <w:num w:numId="3">
    <w:abstractNumId w:val="65"/>
  </w:num>
  <w:num w:numId="4">
    <w:abstractNumId w:val="51"/>
  </w:num>
  <w:num w:numId="5">
    <w:abstractNumId w:val="13"/>
  </w:num>
  <w:num w:numId="6">
    <w:abstractNumId w:val="32"/>
  </w:num>
  <w:num w:numId="7">
    <w:abstractNumId w:val="24"/>
  </w:num>
  <w:num w:numId="8">
    <w:abstractNumId w:val="22"/>
  </w:num>
  <w:num w:numId="9">
    <w:abstractNumId w:val="36"/>
  </w:num>
  <w:num w:numId="10">
    <w:abstractNumId w:val="42"/>
  </w:num>
  <w:num w:numId="11">
    <w:abstractNumId w:val="64"/>
  </w:num>
  <w:num w:numId="12">
    <w:abstractNumId w:val="49"/>
  </w:num>
  <w:num w:numId="13">
    <w:abstractNumId w:val="44"/>
  </w:num>
  <w:num w:numId="14">
    <w:abstractNumId w:val="52"/>
  </w:num>
  <w:num w:numId="15">
    <w:abstractNumId w:val="3"/>
  </w:num>
  <w:num w:numId="16">
    <w:abstractNumId w:val="16"/>
  </w:num>
  <w:num w:numId="17">
    <w:abstractNumId w:val="4"/>
  </w:num>
  <w:num w:numId="18">
    <w:abstractNumId w:val="11"/>
  </w:num>
  <w:num w:numId="19">
    <w:abstractNumId w:val="60"/>
  </w:num>
  <w:num w:numId="20">
    <w:abstractNumId w:val="37"/>
  </w:num>
  <w:num w:numId="21">
    <w:abstractNumId w:val="40"/>
  </w:num>
  <w:num w:numId="22">
    <w:abstractNumId w:val="17"/>
  </w:num>
  <w:num w:numId="23">
    <w:abstractNumId w:val="58"/>
  </w:num>
  <w:num w:numId="24">
    <w:abstractNumId w:val="5"/>
  </w:num>
  <w:num w:numId="25">
    <w:abstractNumId w:val="33"/>
  </w:num>
  <w:num w:numId="26">
    <w:abstractNumId w:val="53"/>
  </w:num>
  <w:num w:numId="27">
    <w:abstractNumId w:val="15"/>
  </w:num>
  <w:num w:numId="28">
    <w:abstractNumId w:val="30"/>
  </w:num>
  <w:num w:numId="29">
    <w:abstractNumId w:val="0"/>
  </w:num>
  <w:num w:numId="30">
    <w:abstractNumId w:val="8"/>
  </w:num>
  <w:num w:numId="31">
    <w:abstractNumId w:val="23"/>
  </w:num>
  <w:num w:numId="32">
    <w:abstractNumId w:val="10"/>
  </w:num>
  <w:num w:numId="33">
    <w:abstractNumId w:val="63"/>
  </w:num>
  <w:num w:numId="34">
    <w:abstractNumId w:val="57"/>
  </w:num>
  <w:num w:numId="35">
    <w:abstractNumId w:val="43"/>
  </w:num>
  <w:num w:numId="36">
    <w:abstractNumId w:val="9"/>
  </w:num>
  <w:num w:numId="37">
    <w:abstractNumId w:val="19"/>
  </w:num>
  <w:num w:numId="38">
    <w:abstractNumId w:val="39"/>
  </w:num>
  <w:num w:numId="39">
    <w:abstractNumId w:val="45"/>
  </w:num>
  <w:num w:numId="40">
    <w:abstractNumId w:val="54"/>
  </w:num>
  <w:num w:numId="41">
    <w:abstractNumId w:val="1"/>
  </w:num>
  <w:num w:numId="42">
    <w:abstractNumId w:val="21"/>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rPr>
          <w:b w:val="0"/>
          <w:bCs w:val="0"/>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3">
    <w:abstractNumId w:val="38"/>
  </w:num>
  <w:num w:numId="44">
    <w:abstractNumId w:val="21"/>
    <w:lvlOverride w:ilvl="0">
      <w:lvl w:ilvl="0">
        <w:start w:val="1"/>
        <w:numFmt w:val="decimal"/>
        <w:lvlText w:val="%1."/>
        <w:lvlJc w:val="left"/>
        <w:pPr>
          <w:ind w:left="360" w:hanging="360"/>
        </w:pPr>
        <w:rPr>
          <w:rFonts w:ascii="Arial" w:hAnsi="Arial" w:cs="Arial" w:hint="default"/>
          <w:b/>
          <w:bCs/>
          <w:color w:val="0070C0"/>
          <w:sz w:val="44"/>
          <w:szCs w:val="44"/>
        </w:rPr>
      </w:lvl>
    </w:lvlOverride>
    <w:lvlOverride w:ilvl="1">
      <w:lvl w:ilvl="1">
        <w:start w:val="1"/>
        <w:numFmt w:val="decimal"/>
        <w:lvlText w:val="%1.%2."/>
        <w:lvlJc w:val="left"/>
        <w:pPr>
          <w:ind w:left="792" w:hanging="432"/>
        </w:pPr>
        <w:rPr>
          <w:b w:val="0"/>
          <w:bCs w:val="0"/>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5">
    <w:abstractNumId w:val="18"/>
  </w:num>
  <w:num w:numId="46">
    <w:abstractNumId w:val="7"/>
  </w:num>
  <w:num w:numId="47">
    <w:abstractNumId w:val="66"/>
  </w:num>
  <w:num w:numId="48">
    <w:abstractNumId w:val="20"/>
  </w:num>
  <w:num w:numId="49">
    <w:abstractNumId w:val="21"/>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rPr>
          <w:b w:val="0"/>
          <w:bCs w:val="0"/>
          <w:sz w:val="36"/>
          <w:szCs w:val="36"/>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0">
    <w:abstractNumId w:val="55"/>
  </w:num>
  <w:num w:numId="51">
    <w:abstractNumId w:val="34"/>
  </w:num>
  <w:num w:numId="52">
    <w:abstractNumId w:val="14"/>
  </w:num>
  <w:num w:numId="53">
    <w:abstractNumId w:val="12"/>
  </w:num>
  <w:num w:numId="54">
    <w:abstractNumId w:val="28"/>
  </w:num>
  <w:num w:numId="55">
    <w:abstractNumId w:val="29"/>
  </w:num>
  <w:num w:numId="56">
    <w:abstractNumId w:val="56"/>
  </w:num>
  <w:num w:numId="57">
    <w:abstractNumId w:val="59"/>
  </w:num>
  <w:num w:numId="58">
    <w:abstractNumId w:val="62"/>
  </w:num>
  <w:num w:numId="59">
    <w:abstractNumId w:val="27"/>
  </w:num>
  <w:num w:numId="60">
    <w:abstractNumId w:val="46"/>
  </w:num>
  <w:num w:numId="61">
    <w:abstractNumId w:val="41"/>
  </w:num>
  <w:num w:numId="62">
    <w:abstractNumId w:val="6"/>
  </w:num>
  <w:num w:numId="63">
    <w:abstractNumId w:val="61"/>
  </w:num>
  <w:num w:numId="64">
    <w:abstractNumId w:val="48"/>
  </w:num>
  <w:num w:numId="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1"/>
  </w:num>
  <w:num w:numId="67">
    <w:abstractNumId w:val="2"/>
  </w:num>
  <w:num w:numId="68">
    <w:abstractNumId w:val="35"/>
  </w:num>
  <w:num w:numId="69">
    <w:abstractNumId w:val="47"/>
  </w:num>
  <w:num w:numId="70">
    <w:abstractNumId w:val="5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numFmt w:val="low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Arial&lt;/FontName&gt;&lt;FontSize&gt;11&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fpsw50zx7s2fe6eseds55rvda90sda9df0sd&quot;&gt;Genomics_library-Converted&lt;record-ids&gt;&lt;item&gt;162&lt;/item&gt;&lt;item&gt;166&lt;/item&gt;&lt;item&gt;167&lt;/item&gt;&lt;item&gt;168&lt;/item&gt;&lt;item&gt;169&lt;/item&gt;&lt;item&gt;171&lt;/item&gt;&lt;item&gt;172&lt;/item&gt;&lt;item&gt;173&lt;/item&gt;&lt;item&gt;174&lt;/item&gt;&lt;item&gt;175&lt;/item&gt;&lt;item&gt;189&lt;/item&gt;&lt;item&gt;206&lt;/item&gt;&lt;item&gt;227&lt;/item&gt;&lt;item&gt;251&lt;/item&gt;&lt;item&gt;273&lt;/item&gt;&lt;item&gt;274&lt;/item&gt;&lt;item&gt;376&lt;/item&gt;&lt;item&gt;377&lt;/item&gt;&lt;item&gt;378&lt;/item&gt;&lt;item&gt;379&lt;/item&gt;&lt;item&gt;380&lt;/item&gt;&lt;item&gt;381&lt;/item&gt;&lt;item&gt;382&lt;/item&gt;&lt;item&gt;383&lt;/item&gt;&lt;item&gt;384&lt;/item&gt;&lt;item&gt;385&lt;/item&gt;&lt;item&gt;387&lt;/item&gt;&lt;item&gt;388&lt;/item&gt;&lt;item&gt;389&lt;/item&gt;&lt;item&gt;390&lt;/item&gt;&lt;item&gt;391&lt;/item&gt;&lt;item&gt;392&lt;/item&gt;&lt;item&gt;393&lt;/item&gt;&lt;item&gt;395&lt;/item&gt;&lt;item&gt;396&lt;/item&gt;&lt;item&gt;397&lt;/item&gt;&lt;item&gt;398&lt;/item&gt;&lt;item&gt;400&lt;/item&gt;&lt;item&gt;402&lt;/item&gt;&lt;item&gt;403&lt;/item&gt;&lt;item&gt;404&lt;/item&gt;&lt;item&gt;405&lt;/item&gt;&lt;item&gt;408&lt;/item&gt;&lt;item&gt;409&lt;/item&gt;&lt;item&gt;410&lt;/item&gt;&lt;item&gt;411&lt;/item&gt;&lt;item&gt;412&lt;/item&gt;&lt;item&gt;413&lt;/item&gt;&lt;item&gt;414&lt;/item&gt;&lt;item&gt;415&lt;/item&gt;&lt;/record-ids&gt;&lt;/item&gt;&lt;/Libraries&gt;"/>
  </w:docVars>
  <w:rsids>
    <w:rsidRoot w:val="00E950D5"/>
    <w:rsid w:val="000003D6"/>
    <w:rsid w:val="0000333B"/>
    <w:rsid w:val="00003DE9"/>
    <w:rsid w:val="000066A6"/>
    <w:rsid w:val="000068C6"/>
    <w:rsid w:val="0001644B"/>
    <w:rsid w:val="00016714"/>
    <w:rsid w:val="00022B18"/>
    <w:rsid w:val="00022EB2"/>
    <w:rsid w:val="000259D0"/>
    <w:rsid w:val="00030D3F"/>
    <w:rsid w:val="000341BB"/>
    <w:rsid w:val="00036AA2"/>
    <w:rsid w:val="00040D0F"/>
    <w:rsid w:val="00053FB5"/>
    <w:rsid w:val="00055D30"/>
    <w:rsid w:val="000576C6"/>
    <w:rsid w:val="000602C1"/>
    <w:rsid w:val="00062A79"/>
    <w:rsid w:val="000644EB"/>
    <w:rsid w:val="00067871"/>
    <w:rsid w:val="0007677C"/>
    <w:rsid w:val="00082C4E"/>
    <w:rsid w:val="00086BEF"/>
    <w:rsid w:val="000871C5"/>
    <w:rsid w:val="000939CE"/>
    <w:rsid w:val="000A0056"/>
    <w:rsid w:val="000A1A6E"/>
    <w:rsid w:val="000A3EFC"/>
    <w:rsid w:val="000A4004"/>
    <w:rsid w:val="000A4979"/>
    <w:rsid w:val="000A5610"/>
    <w:rsid w:val="000B2B3C"/>
    <w:rsid w:val="000C36F4"/>
    <w:rsid w:val="000C7F10"/>
    <w:rsid w:val="000D2E9D"/>
    <w:rsid w:val="000E1137"/>
    <w:rsid w:val="000E6EBF"/>
    <w:rsid w:val="000F3CA6"/>
    <w:rsid w:val="000F618B"/>
    <w:rsid w:val="0010109E"/>
    <w:rsid w:val="00111530"/>
    <w:rsid w:val="00113818"/>
    <w:rsid w:val="00121CDD"/>
    <w:rsid w:val="001234E5"/>
    <w:rsid w:val="00127029"/>
    <w:rsid w:val="0013060B"/>
    <w:rsid w:val="001314E8"/>
    <w:rsid w:val="001354B2"/>
    <w:rsid w:val="00142010"/>
    <w:rsid w:val="00142302"/>
    <w:rsid w:val="001435C5"/>
    <w:rsid w:val="0014470B"/>
    <w:rsid w:val="00144BE8"/>
    <w:rsid w:val="00146196"/>
    <w:rsid w:val="001477F6"/>
    <w:rsid w:val="001524BD"/>
    <w:rsid w:val="00152A46"/>
    <w:rsid w:val="001614F3"/>
    <w:rsid w:val="001656B7"/>
    <w:rsid w:val="0017327D"/>
    <w:rsid w:val="00175DB5"/>
    <w:rsid w:val="00177432"/>
    <w:rsid w:val="0018164C"/>
    <w:rsid w:val="00192A85"/>
    <w:rsid w:val="0019393D"/>
    <w:rsid w:val="001C1527"/>
    <w:rsid w:val="001C2D65"/>
    <w:rsid w:val="001C5F18"/>
    <w:rsid w:val="001D3D68"/>
    <w:rsid w:val="001E24B6"/>
    <w:rsid w:val="001E3B8E"/>
    <w:rsid w:val="001E552C"/>
    <w:rsid w:val="001E5CD4"/>
    <w:rsid w:val="001F1AD9"/>
    <w:rsid w:val="001F1D14"/>
    <w:rsid w:val="001F3EFA"/>
    <w:rsid w:val="001F44E3"/>
    <w:rsid w:val="001F5453"/>
    <w:rsid w:val="00200993"/>
    <w:rsid w:val="00201BE0"/>
    <w:rsid w:val="00204536"/>
    <w:rsid w:val="002116F5"/>
    <w:rsid w:val="00211A8B"/>
    <w:rsid w:val="00211DE9"/>
    <w:rsid w:val="00215643"/>
    <w:rsid w:val="0022006C"/>
    <w:rsid w:val="00223777"/>
    <w:rsid w:val="00231DCC"/>
    <w:rsid w:val="0023358D"/>
    <w:rsid w:val="00233723"/>
    <w:rsid w:val="0023631F"/>
    <w:rsid w:val="00240F4E"/>
    <w:rsid w:val="00250D36"/>
    <w:rsid w:val="0025265B"/>
    <w:rsid w:val="00262272"/>
    <w:rsid w:val="002640B2"/>
    <w:rsid w:val="002702C5"/>
    <w:rsid w:val="00276C36"/>
    <w:rsid w:val="00292E9F"/>
    <w:rsid w:val="00296057"/>
    <w:rsid w:val="002A0939"/>
    <w:rsid w:val="002C1D62"/>
    <w:rsid w:val="002C2B47"/>
    <w:rsid w:val="002D434F"/>
    <w:rsid w:val="002D57BE"/>
    <w:rsid w:val="002E06A7"/>
    <w:rsid w:val="002E1018"/>
    <w:rsid w:val="002E4630"/>
    <w:rsid w:val="002E6904"/>
    <w:rsid w:val="002F4ED8"/>
    <w:rsid w:val="002F6DCC"/>
    <w:rsid w:val="002F74D8"/>
    <w:rsid w:val="00300134"/>
    <w:rsid w:val="00302639"/>
    <w:rsid w:val="00304E53"/>
    <w:rsid w:val="0030541C"/>
    <w:rsid w:val="0031523B"/>
    <w:rsid w:val="00322544"/>
    <w:rsid w:val="0032707C"/>
    <w:rsid w:val="003324EF"/>
    <w:rsid w:val="00336306"/>
    <w:rsid w:val="00337861"/>
    <w:rsid w:val="00346B0F"/>
    <w:rsid w:val="00352A8B"/>
    <w:rsid w:val="003559EE"/>
    <w:rsid w:val="00355E19"/>
    <w:rsid w:val="0036366D"/>
    <w:rsid w:val="00363C4C"/>
    <w:rsid w:val="00376383"/>
    <w:rsid w:val="00386295"/>
    <w:rsid w:val="003865E6"/>
    <w:rsid w:val="003900BE"/>
    <w:rsid w:val="003A0CE6"/>
    <w:rsid w:val="003A1530"/>
    <w:rsid w:val="003A27A9"/>
    <w:rsid w:val="003A411E"/>
    <w:rsid w:val="003B3321"/>
    <w:rsid w:val="003B694A"/>
    <w:rsid w:val="003B6A41"/>
    <w:rsid w:val="003C4B1D"/>
    <w:rsid w:val="003C724E"/>
    <w:rsid w:val="003C7ABA"/>
    <w:rsid w:val="003D03CD"/>
    <w:rsid w:val="003D5D89"/>
    <w:rsid w:val="003F37C4"/>
    <w:rsid w:val="00403D89"/>
    <w:rsid w:val="004042C6"/>
    <w:rsid w:val="00404983"/>
    <w:rsid w:val="00410E33"/>
    <w:rsid w:val="004122F6"/>
    <w:rsid w:val="00415F2A"/>
    <w:rsid w:val="00416086"/>
    <w:rsid w:val="004234A0"/>
    <w:rsid w:val="004268EC"/>
    <w:rsid w:val="0042721A"/>
    <w:rsid w:val="00433DCC"/>
    <w:rsid w:val="00433F2B"/>
    <w:rsid w:val="0043563A"/>
    <w:rsid w:val="00436DA0"/>
    <w:rsid w:val="00437236"/>
    <w:rsid w:val="00441536"/>
    <w:rsid w:val="004428C0"/>
    <w:rsid w:val="00442E9F"/>
    <w:rsid w:val="00444946"/>
    <w:rsid w:val="00447C06"/>
    <w:rsid w:val="004507B7"/>
    <w:rsid w:val="004635FB"/>
    <w:rsid w:val="00465A28"/>
    <w:rsid w:val="00476261"/>
    <w:rsid w:val="004821AE"/>
    <w:rsid w:val="00482284"/>
    <w:rsid w:val="00484F90"/>
    <w:rsid w:val="00485581"/>
    <w:rsid w:val="0049007B"/>
    <w:rsid w:val="00492618"/>
    <w:rsid w:val="004A2F86"/>
    <w:rsid w:val="004A3004"/>
    <w:rsid w:val="004A699A"/>
    <w:rsid w:val="004A7C93"/>
    <w:rsid w:val="004B3978"/>
    <w:rsid w:val="004D27A3"/>
    <w:rsid w:val="004D4ED9"/>
    <w:rsid w:val="004D7580"/>
    <w:rsid w:val="004E2FC8"/>
    <w:rsid w:val="004E5294"/>
    <w:rsid w:val="004E6BA5"/>
    <w:rsid w:val="004F3346"/>
    <w:rsid w:val="004F48F4"/>
    <w:rsid w:val="005000D0"/>
    <w:rsid w:val="005009D6"/>
    <w:rsid w:val="00501B4C"/>
    <w:rsid w:val="0051055E"/>
    <w:rsid w:val="00512FE3"/>
    <w:rsid w:val="005155C3"/>
    <w:rsid w:val="00521864"/>
    <w:rsid w:val="00521C52"/>
    <w:rsid w:val="005233EB"/>
    <w:rsid w:val="00525A19"/>
    <w:rsid w:val="00527E6F"/>
    <w:rsid w:val="005313ED"/>
    <w:rsid w:val="0054100C"/>
    <w:rsid w:val="00543D12"/>
    <w:rsid w:val="00545C41"/>
    <w:rsid w:val="0054642C"/>
    <w:rsid w:val="0055013A"/>
    <w:rsid w:val="0055604A"/>
    <w:rsid w:val="0055614D"/>
    <w:rsid w:val="00557FD0"/>
    <w:rsid w:val="00570CEA"/>
    <w:rsid w:val="00576382"/>
    <w:rsid w:val="005859C2"/>
    <w:rsid w:val="00594412"/>
    <w:rsid w:val="00595553"/>
    <w:rsid w:val="005A210A"/>
    <w:rsid w:val="005A26D1"/>
    <w:rsid w:val="005A7248"/>
    <w:rsid w:val="005B29DA"/>
    <w:rsid w:val="005B3FFE"/>
    <w:rsid w:val="005B430D"/>
    <w:rsid w:val="005B481B"/>
    <w:rsid w:val="005B67EE"/>
    <w:rsid w:val="005C56B6"/>
    <w:rsid w:val="005D1C6F"/>
    <w:rsid w:val="005D7113"/>
    <w:rsid w:val="005E289F"/>
    <w:rsid w:val="005F14DE"/>
    <w:rsid w:val="005F3BF3"/>
    <w:rsid w:val="00603267"/>
    <w:rsid w:val="00605CA5"/>
    <w:rsid w:val="006149EB"/>
    <w:rsid w:val="00616F66"/>
    <w:rsid w:val="00620695"/>
    <w:rsid w:val="0062211C"/>
    <w:rsid w:val="00622A19"/>
    <w:rsid w:val="00624CE6"/>
    <w:rsid w:val="00624EED"/>
    <w:rsid w:val="00630994"/>
    <w:rsid w:val="00631E1C"/>
    <w:rsid w:val="006337E3"/>
    <w:rsid w:val="006356B2"/>
    <w:rsid w:val="00635B6B"/>
    <w:rsid w:val="00644E43"/>
    <w:rsid w:val="00650A08"/>
    <w:rsid w:val="00651469"/>
    <w:rsid w:val="006643C5"/>
    <w:rsid w:val="00664811"/>
    <w:rsid w:val="00670869"/>
    <w:rsid w:val="00676E66"/>
    <w:rsid w:val="00681574"/>
    <w:rsid w:val="00683532"/>
    <w:rsid w:val="0068394F"/>
    <w:rsid w:val="0068476F"/>
    <w:rsid w:val="00695220"/>
    <w:rsid w:val="00697B5A"/>
    <w:rsid w:val="006A3296"/>
    <w:rsid w:val="006A639C"/>
    <w:rsid w:val="006A6ADF"/>
    <w:rsid w:val="006B0C42"/>
    <w:rsid w:val="006B2527"/>
    <w:rsid w:val="006B33EA"/>
    <w:rsid w:val="006C0A4C"/>
    <w:rsid w:val="006C0D7A"/>
    <w:rsid w:val="006C32E2"/>
    <w:rsid w:val="006C4EF9"/>
    <w:rsid w:val="006D07BA"/>
    <w:rsid w:val="006D26B9"/>
    <w:rsid w:val="006D39FA"/>
    <w:rsid w:val="006D4C01"/>
    <w:rsid w:val="006D7435"/>
    <w:rsid w:val="006E43FC"/>
    <w:rsid w:val="006F11E0"/>
    <w:rsid w:val="006F197A"/>
    <w:rsid w:val="006F1FE9"/>
    <w:rsid w:val="006F3EA3"/>
    <w:rsid w:val="006F525A"/>
    <w:rsid w:val="006F6B99"/>
    <w:rsid w:val="006F74F4"/>
    <w:rsid w:val="006F7EF2"/>
    <w:rsid w:val="006F7FBF"/>
    <w:rsid w:val="00703606"/>
    <w:rsid w:val="007038DC"/>
    <w:rsid w:val="00704CC3"/>
    <w:rsid w:val="00713AD4"/>
    <w:rsid w:val="00720440"/>
    <w:rsid w:val="00723458"/>
    <w:rsid w:val="00724DDE"/>
    <w:rsid w:val="00725474"/>
    <w:rsid w:val="00727536"/>
    <w:rsid w:val="00733F22"/>
    <w:rsid w:val="00734747"/>
    <w:rsid w:val="007363D7"/>
    <w:rsid w:val="0073678B"/>
    <w:rsid w:val="00737A7B"/>
    <w:rsid w:val="00742C65"/>
    <w:rsid w:val="00744120"/>
    <w:rsid w:val="007453B5"/>
    <w:rsid w:val="00747A09"/>
    <w:rsid w:val="00766267"/>
    <w:rsid w:val="00770B0D"/>
    <w:rsid w:val="00772CE8"/>
    <w:rsid w:val="00782340"/>
    <w:rsid w:val="00792312"/>
    <w:rsid w:val="007A056E"/>
    <w:rsid w:val="007A1F36"/>
    <w:rsid w:val="007A77AE"/>
    <w:rsid w:val="007A7DC8"/>
    <w:rsid w:val="007B10C6"/>
    <w:rsid w:val="007B15C7"/>
    <w:rsid w:val="007B2A72"/>
    <w:rsid w:val="007B353D"/>
    <w:rsid w:val="007B3D9D"/>
    <w:rsid w:val="007B4281"/>
    <w:rsid w:val="007C0FED"/>
    <w:rsid w:val="007C5255"/>
    <w:rsid w:val="007C7774"/>
    <w:rsid w:val="007D251F"/>
    <w:rsid w:val="007D4C53"/>
    <w:rsid w:val="007D6083"/>
    <w:rsid w:val="007F1F8B"/>
    <w:rsid w:val="007F28D7"/>
    <w:rsid w:val="007F4B1D"/>
    <w:rsid w:val="0080232F"/>
    <w:rsid w:val="00803ADF"/>
    <w:rsid w:val="00805018"/>
    <w:rsid w:val="0080742D"/>
    <w:rsid w:val="0081151A"/>
    <w:rsid w:val="00812ADE"/>
    <w:rsid w:val="0082132F"/>
    <w:rsid w:val="00826A58"/>
    <w:rsid w:val="00830873"/>
    <w:rsid w:val="00831D1B"/>
    <w:rsid w:val="0083425F"/>
    <w:rsid w:val="008439A9"/>
    <w:rsid w:val="00843E1E"/>
    <w:rsid w:val="00853717"/>
    <w:rsid w:val="00854B43"/>
    <w:rsid w:val="00856A13"/>
    <w:rsid w:val="00857B13"/>
    <w:rsid w:val="008626C0"/>
    <w:rsid w:val="008652A4"/>
    <w:rsid w:val="00874343"/>
    <w:rsid w:val="00881583"/>
    <w:rsid w:val="00882110"/>
    <w:rsid w:val="0088518F"/>
    <w:rsid w:val="00886DDC"/>
    <w:rsid w:val="00890404"/>
    <w:rsid w:val="00894A24"/>
    <w:rsid w:val="008A0762"/>
    <w:rsid w:val="008A14B6"/>
    <w:rsid w:val="008B120B"/>
    <w:rsid w:val="008B1B20"/>
    <w:rsid w:val="008C1DED"/>
    <w:rsid w:val="008C75D3"/>
    <w:rsid w:val="008D7AD4"/>
    <w:rsid w:val="008E49AC"/>
    <w:rsid w:val="008E72BF"/>
    <w:rsid w:val="008F0477"/>
    <w:rsid w:val="00904728"/>
    <w:rsid w:val="00904AF1"/>
    <w:rsid w:val="00916A52"/>
    <w:rsid w:val="00920114"/>
    <w:rsid w:val="00920C10"/>
    <w:rsid w:val="009245B1"/>
    <w:rsid w:val="00925495"/>
    <w:rsid w:val="00927E40"/>
    <w:rsid w:val="00930B8E"/>
    <w:rsid w:val="00946621"/>
    <w:rsid w:val="009509D5"/>
    <w:rsid w:val="00954833"/>
    <w:rsid w:val="00954AAA"/>
    <w:rsid w:val="009651EA"/>
    <w:rsid w:val="00967B1F"/>
    <w:rsid w:val="0097377D"/>
    <w:rsid w:val="00974343"/>
    <w:rsid w:val="00987D23"/>
    <w:rsid w:val="009925A0"/>
    <w:rsid w:val="00996101"/>
    <w:rsid w:val="009A45E8"/>
    <w:rsid w:val="009A697D"/>
    <w:rsid w:val="009A7AC4"/>
    <w:rsid w:val="009B26BF"/>
    <w:rsid w:val="009B4DEE"/>
    <w:rsid w:val="009C0B30"/>
    <w:rsid w:val="009C2195"/>
    <w:rsid w:val="009D094D"/>
    <w:rsid w:val="009D5EF6"/>
    <w:rsid w:val="009D7877"/>
    <w:rsid w:val="009E3725"/>
    <w:rsid w:val="009E454C"/>
    <w:rsid w:val="00A01753"/>
    <w:rsid w:val="00A05979"/>
    <w:rsid w:val="00A06ED1"/>
    <w:rsid w:val="00A0764E"/>
    <w:rsid w:val="00A108FB"/>
    <w:rsid w:val="00A145D0"/>
    <w:rsid w:val="00A21405"/>
    <w:rsid w:val="00A218E1"/>
    <w:rsid w:val="00A26E50"/>
    <w:rsid w:val="00A27C6E"/>
    <w:rsid w:val="00A30301"/>
    <w:rsid w:val="00A31D70"/>
    <w:rsid w:val="00A32D59"/>
    <w:rsid w:val="00A36FD2"/>
    <w:rsid w:val="00A431EE"/>
    <w:rsid w:val="00A43684"/>
    <w:rsid w:val="00A4490D"/>
    <w:rsid w:val="00A51ECC"/>
    <w:rsid w:val="00A525F4"/>
    <w:rsid w:val="00A52F56"/>
    <w:rsid w:val="00A56B46"/>
    <w:rsid w:val="00A61A15"/>
    <w:rsid w:val="00A64DFD"/>
    <w:rsid w:val="00A659D5"/>
    <w:rsid w:val="00A6771C"/>
    <w:rsid w:val="00A77742"/>
    <w:rsid w:val="00A82320"/>
    <w:rsid w:val="00A82F6B"/>
    <w:rsid w:val="00A83D48"/>
    <w:rsid w:val="00A86123"/>
    <w:rsid w:val="00A86A03"/>
    <w:rsid w:val="00A907EF"/>
    <w:rsid w:val="00A94F87"/>
    <w:rsid w:val="00A95D68"/>
    <w:rsid w:val="00AC07D0"/>
    <w:rsid w:val="00AC1146"/>
    <w:rsid w:val="00AC33C6"/>
    <w:rsid w:val="00AC4AEC"/>
    <w:rsid w:val="00AD1070"/>
    <w:rsid w:val="00AD1124"/>
    <w:rsid w:val="00AD17AE"/>
    <w:rsid w:val="00AD2F62"/>
    <w:rsid w:val="00AD3C89"/>
    <w:rsid w:val="00AD41C3"/>
    <w:rsid w:val="00AE79BF"/>
    <w:rsid w:val="00AF175F"/>
    <w:rsid w:val="00AF1AA0"/>
    <w:rsid w:val="00B02534"/>
    <w:rsid w:val="00B0324A"/>
    <w:rsid w:val="00B05F8D"/>
    <w:rsid w:val="00B3164E"/>
    <w:rsid w:val="00B320D5"/>
    <w:rsid w:val="00B328BD"/>
    <w:rsid w:val="00B3559A"/>
    <w:rsid w:val="00B404E2"/>
    <w:rsid w:val="00B42EFE"/>
    <w:rsid w:val="00B4359F"/>
    <w:rsid w:val="00B47978"/>
    <w:rsid w:val="00B47A08"/>
    <w:rsid w:val="00B47AEF"/>
    <w:rsid w:val="00B53113"/>
    <w:rsid w:val="00B576FE"/>
    <w:rsid w:val="00B6269B"/>
    <w:rsid w:val="00B66CEA"/>
    <w:rsid w:val="00B67035"/>
    <w:rsid w:val="00B6712C"/>
    <w:rsid w:val="00B71FE0"/>
    <w:rsid w:val="00B72433"/>
    <w:rsid w:val="00B73DFA"/>
    <w:rsid w:val="00B748E3"/>
    <w:rsid w:val="00B8489E"/>
    <w:rsid w:val="00B90420"/>
    <w:rsid w:val="00B90FD0"/>
    <w:rsid w:val="00B915EA"/>
    <w:rsid w:val="00BA0DF4"/>
    <w:rsid w:val="00BA120B"/>
    <w:rsid w:val="00BA2837"/>
    <w:rsid w:val="00BA71C6"/>
    <w:rsid w:val="00BB1359"/>
    <w:rsid w:val="00BB291B"/>
    <w:rsid w:val="00BB4CCC"/>
    <w:rsid w:val="00BB4D61"/>
    <w:rsid w:val="00BB59CA"/>
    <w:rsid w:val="00BC5CA5"/>
    <w:rsid w:val="00BC6C93"/>
    <w:rsid w:val="00BD6541"/>
    <w:rsid w:val="00BE1D88"/>
    <w:rsid w:val="00BE2CE4"/>
    <w:rsid w:val="00BE5FF6"/>
    <w:rsid w:val="00BF0ACF"/>
    <w:rsid w:val="00BF521E"/>
    <w:rsid w:val="00C00475"/>
    <w:rsid w:val="00C01B11"/>
    <w:rsid w:val="00C04D7B"/>
    <w:rsid w:val="00C11E46"/>
    <w:rsid w:val="00C146B0"/>
    <w:rsid w:val="00C14A11"/>
    <w:rsid w:val="00C15042"/>
    <w:rsid w:val="00C22D50"/>
    <w:rsid w:val="00C252FA"/>
    <w:rsid w:val="00C25655"/>
    <w:rsid w:val="00C27451"/>
    <w:rsid w:val="00C3034B"/>
    <w:rsid w:val="00C341D1"/>
    <w:rsid w:val="00C436DA"/>
    <w:rsid w:val="00C6282A"/>
    <w:rsid w:val="00C62E17"/>
    <w:rsid w:val="00C73475"/>
    <w:rsid w:val="00C74136"/>
    <w:rsid w:val="00C77750"/>
    <w:rsid w:val="00C77D0E"/>
    <w:rsid w:val="00C80E5D"/>
    <w:rsid w:val="00C8197E"/>
    <w:rsid w:val="00C84723"/>
    <w:rsid w:val="00C86822"/>
    <w:rsid w:val="00C9121C"/>
    <w:rsid w:val="00C9290D"/>
    <w:rsid w:val="00C93178"/>
    <w:rsid w:val="00C93629"/>
    <w:rsid w:val="00C96B0D"/>
    <w:rsid w:val="00CA26E4"/>
    <w:rsid w:val="00CA6247"/>
    <w:rsid w:val="00CA7603"/>
    <w:rsid w:val="00CB1DB5"/>
    <w:rsid w:val="00CB6DB1"/>
    <w:rsid w:val="00CC0F92"/>
    <w:rsid w:val="00CC2D23"/>
    <w:rsid w:val="00CC6377"/>
    <w:rsid w:val="00CD2AA3"/>
    <w:rsid w:val="00CD3120"/>
    <w:rsid w:val="00CD4D12"/>
    <w:rsid w:val="00CE1088"/>
    <w:rsid w:val="00CE778E"/>
    <w:rsid w:val="00CF18AD"/>
    <w:rsid w:val="00D0506B"/>
    <w:rsid w:val="00D0790F"/>
    <w:rsid w:val="00D0797C"/>
    <w:rsid w:val="00D11593"/>
    <w:rsid w:val="00D11614"/>
    <w:rsid w:val="00D15422"/>
    <w:rsid w:val="00D16529"/>
    <w:rsid w:val="00D22104"/>
    <w:rsid w:val="00D22DC6"/>
    <w:rsid w:val="00D25DD3"/>
    <w:rsid w:val="00D275C4"/>
    <w:rsid w:val="00D27AF5"/>
    <w:rsid w:val="00D311A4"/>
    <w:rsid w:val="00D3233B"/>
    <w:rsid w:val="00D35172"/>
    <w:rsid w:val="00D3679B"/>
    <w:rsid w:val="00D42683"/>
    <w:rsid w:val="00D448B9"/>
    <w:rsid w:val="00D469C8"/>
    <w:rsid w:val="00D54523"/>
    <w:rsid w:val="00D56AB3"/>
    <w:rsid w:val="00D57AA1"/>
    <w:rsid w:val="00D62897"/>
    <w:rsid w:val="00D65409"/>
    <w:rsid w:val="00D67D85"/>
    <w:rsid w:val="00D71228"/>
    <w:rsid w:val="00D756C6"/>
    <w:rsid w:val="00D76FF9"/>
    <w:rsid w:val="00D82A80"/>
    <w:rsid w:val="00D90660"/>
    <w:rsid w:val="00D91A6E"/>
    <w:rsid w:val="00D91ABC"/>
    <w:rsid w:val="00D91B32"/>
    <w:rsid w:val="00D93907"/>
    <w:rsid w:val="00D97801"/>
    <w:rsid w:val="00DA2ABB"/>
    <w:rsid w:val="00DA3570"/>
    <w:rsid w:val="00DA5242"/>
    <w:rsid w:val="00DB63D1"/>
    <w:rsid w:val="00DD0560"/>
    <w:rsid w:val="00DE34BC"/>
    <w:rsid w:val="00DE4BAF"/>
    <w:rsid w:val="00DE6592"/>
    <w:rsid w:val="00DE6940"/>
    <w:rsid w:val="00DF7744"/>
    <w:rsid w:val="00E054FB"/>
    <w:rsid w:val="00E064AC"/>
    <w:rsid w:val="00E07973"/>
    <w:rsid w:val="00E13E1D"/>
    <w:rsid w:val="00E171EF"/>
    <w:rsid w:val="00E1798B"/>
    <w:rsid w:val="00E24E11"/>
    <w:rsid w:val="00E266DC"/>
    <w:rsid w:val="00E272F8"/>
    <w:rsid w:val="00E302B7"/>
    <w:rsid w:val="00E31A61"/>
    <w:rsid w:val="00E362D0"/>
    <w:rsid w:val="00E435C8"/>
    <w:rsid w:val="00E43614"/>
    <w:rsid w:val="00E457BF"/>
    <w:rsid w:val="00E52972"/>
    <w:rsid w:val="00E545E6"/>
    <w:rsid w:val="00E546D6"/>
    <w:rsid w:val="00E55FC2"/>
    <w:rsid w:val="00E569D9"/>
    <w:rsid w:val="00E56EE6"/>
    <w:rsid w:val="00E57EE8"/>
    <w:rsid w:val="00E60779"/>
    <w:rsid w:val="00E62CE3"/>
    <w:rsid w:val="00E65160"/>
    <w:rsid w:val="00E661CB"/>
    <w:rsid w:val="00E66EC9"/>
    <w:rsid w:val="00E67287"/>
    <w:rsid w:val="00E72083"/>
    <w:rsid w:val="00E72C35"/>
    <w:rsid w:val="00E74156"/>
    <w:rsid w:val="00E7688C"/>
    <w:rsid w:val="00E77A7A"/>
    <w:rsid w:val="00E85FCD"/>
    <w:rsid w:val="00E92087"/>
    <w:rsid w:val="00E94863"/>
    <w:rsid w:val="00E950D5"/>
    <w:rsid w:val="00E95AEA"/>
    <w:rsid w:val="00EA1D4B"/>
    <w:rsid w:val="00EA2AB1"/>
    <w:rsid w:val="00EA6BE2"/>
    <w:rsid w:val="00EB308B"/>
    <w:rsid w:val="00EB4707"/>
    <w:rsid w:val="00EC2409"/>
    <w:rsid w:val="00ED216E"/>
    <w:rsid w:val="00ED388B"/>
    <w:rsid w:val="00ED50A4"/>
    <w:rsid w:val="00ED6D80"/>
    <w:rsid w:val="00EE60BB"/>
    <w:rsid w:val="00EF19CA"/>
    <w:rsid w:val="00EF3D94"/>
    <w:rsid w:val="00EF6254"/>
    <w:rsid w:val="00F0010D"/>
    <w:rsid w:val="00F00D15"/>
    <w:rsid w:val="00F01832"/>
    <w:rsid w:val="00F02889"/>
    <w:rsid w:val="00F15D3E"/>
    <w:rsid w:val="00F21433"/>
    <w:rsid w:val="00F2492C"/>
    <w:rsid w:val="00F24FC7"/>
    <w:rsid w:val="00F25E80"/>
    <w:rsid w:val="00F34153"/>
    <w:rsid w:val="00F34D54"/>
    <w:rsid w:val="00F376FE"/>
    <w:rsid w:val="00F37893"/>
    <w:rsid w:val="00F45CA9"/>
    <w:rsid w:val="00F46BDE"/>
    <w:rsid w:val="00F545D2"/>
    <w:rsid w:val="00F61B2F"/>
    <w:rsid w:val="00F637CA"/>
    <w:rsid w:val="00F66B6A"/>
    <w:rsid w:val="00F81044"/>
    <w:rsid w:val="00F846A8"/>
    <w:rsid w:val="00F86B08"/>
    <w:rsid w:val="00F92A62"/>
    <w:rsid w:val="00F950BF"/>
    <w:rsid w:val="00F95227"/>
    <w:rsid w:val="00FA1909"/>
    <w:rsid w:val="00FA1A0B"/>
    <w:rsid w:val="00FA2831"/>
    <w:rsid w:val="00FA2CA0"/>
    <w:rsid w:val="00FA35EA"/>
    <w:rsid w:val="00FA40FA"/>
    <w:rsid w:val="00FA4377"/>
    <w:rsid w:val="00FB5CD8"/>
    <w:rsid w:val="00FB7622"/>
    <w:rsid w:val="00FC5570"/>
    <w:rsid w:val="00FD1CD0"/>
    <w:rsid w:val="00FD2843"/>
    <w:rsid w:val="00FD2D49"/>
    <w:rsid w:val="00FD3100"/>
    <w:rsid w:val="00FD3E93"/>
    <w:rsid w:val="00FD799E"/>
    <w:rsid w:val="00FE0F22"/>
    <w:rsid w:val="00FE5B9B"/>
    <w:rsid w:val="00FF1CB7"/>
    <w:rsid w:val="00FF3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7757D"/>
  <w15:docId w15:val="{00F469DE-6783-4F48-8277-3B8D8C66A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0D5"/>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E171E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71E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171E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E950D5"/>
    <w:pPr>
      <w:jc w:val="center"/>
    </w:pPr>
    <w:rPr>
      <w:rFonts w:ascii="Arial" w:hAnsi="Arial" w:cs="Arial"/>
      <w:sz w:val="22"/>
    </w:rPr>
  </w:style>
  <w:style w:type="character" w:customStyle="1" w:styleId="EndNoteBibliographyTitleChar">
    <w:name w:val="EndNote Bibliography Title Char"/>
    <w:basedOn w:val="DefaultParagraphFont"/>
    <w:link w:val="EndNoteBibliographyTitle"/>
    <w:rsid w:val="00E950D5"/>
    <w:rPr>
      <w:rFonts w:ascii="Arial" w:eastAsia="Times New Roman" w:hAnsi="Arial" w:cs="Arial"/>
      <w:sz w:val="22"/>
      <w:lang w:eastAsia="en-GB"/>
    </w:rPr>
  </w:style>
  <w:style w:type="paragraph" w:customStyle="1" w:styleId="EndNoteBibliography">
    <w:name w:val="EndNote Bibliography"/>
    <w:basedOn w:val="Normal"/>
    <w:link w:val="EndNoteBibliographyChar"/>
    <w:rsid w:val="00E950D5"/>
    <w:pPr>
      <w:spacing w:line="360" w:lineRule="auto"/>
    </w:pPr>
    <w:rPr>
      <w:rFonts w:ascii="Arial" w:hAnsi="Arial" w:cs="Arial"/>
      <w:sz w:val="22"/>
    </w:rPr>
  </w:style>
  <w:style w:type="character" w:customStyle="1" w:styleId="EndNoteBibliographyChar">
    <w:name w:val="EndNote Bibliography Char"/>
    <w:basedOn w:val="DefaultParagraphFont"/>
    <w:link w:val="EndNoteBibliography"/>
    <w:rsid w:val="00E950D5"/>
    <w:rPr>
      <w:rFonts w:ascii="Arial" w:eastAsia="Times New Roman" w:hAnsi="Arial" w:cs="Arial"/>
      <w:sz w:val="22"/>
      <w:lang w:eastAsia="en-GB"/>
    </w:rPr>
  </w:style>
  <w:style w:type="paragraph" w:styleId="NormalWeb">
    <w:name w:val="Normal (Web)"/>
    <w:basedOn w:val="Normal"/>
    <w:uiPriority w:val="99"/>
    <w:unhideWhenUsed/>
    <w:rsid w:val="00C93629"/>
    <w:pPr>
      <w:spacing w:before="100" w:beforeAutospacing="1" w:after="100" w:afterAutospacing="1"/>
    </w:pPr>
  </w:style>
  <w:style w:type="table" w:styleId="TableGrid">
    <w:name w:val="Table Grid"/>
    <w:basedOn w:val="TableNormal"/>
    <w:uiPriority w:val="39"/>
    <w:rsid w:val="00C93629"/>
    <w:pPr>
      <w:ind w:firstLine="360"/>
    </w:pPr>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93629"/>
    <w:pPr>
      <w:ind w:left="720"/>
      <w:contextualSpacing/>
    </w:pPr>
  </w:style>
  <w:style w:type="character" w:customStyle="1" w:styleId="ListParagraphChar">
    <w:name w:val="List Paragraph Char"/>
    <w:link w:val="ListParagraph"/>
    <w:uiPriority w:val="34"/>
    <w:qFormat/>
    <w:locked/>
    <w:rsid w:val="00C93629"/>
    <w:rPr>
      <w:rFonts w:ascii="Times New Roman" w:eastAsia="Times New Roman" w:hAnsi="Times New Roman" w:cs="Times New Roman"/>
      <w:lang w:eastAsia="en-GB"/>
    </w:rPr>
  </w:style>
  <w:style w:type="paragraph" w:customStyle="1" w:styleId="DocMgmtSubhead">
    <w:name w:val="Doc Mgmt Subhead"/>
    <w:basedOn w:val="Normal"/>
    <w:link w:val="DocMgmtSubheadChar"/>
    <w:qFormat/>
    <w:rsid w:val="00C93629"/>
    <w:pPr>
      <w:spacing w:before="120" w:after="120"/>
      <w:textboxTightWrap w:val="allLines"/>
    </w:pPr>
    <w:rPr>
      <w:rFonts w:ascii="Arial" w:hAnsi="Arial"/>
      <w:b/>
      <w:color w:val="4472C4" w:themeColor="accent1"/>
      <w:sz w:val="35"/>
      <w:szCs w:val="42"/>
    </w:rPr>
  </w:style>
  <w:style w:type="character" w:customStyle="1" w:styleId="DocMgmtSubheadChar">
    <w:name w:val="Doc Mgmt Subhead Char"/>
    <w:basedOn w:val="DefaultParagraphFont"/>
    <w:link w:val="DocMgmtSubhead"/>
    <w:rsid w:val="00C93629"/>
    <w:rPr>
      <w:rFonts w:ascii="Arial" w:eastAsia="Times New Roman" w:hAnsi="Arial" w:cs="Times New Roman"/>
      <w:b/>
      <w:color w:val="4472C4" w:themeColor="accent1"/>
      <w:sz w:val="35"/>
      <w:szCs w:val="42"/>
      <w:lang w:eastAsia="en-GB"/>
    </w:rPr>
  </w:style>
  <w:style w:type="paragraph" w:customStyle="1" w:styleId="TableText">
    <w:name w:val="Table Text"/>
    <w:basedOn w:val="Normal"/>
    <w:link w:val="TableTextChar"/>
    <w:qFormat/>
    <w:rsid w:val="00C93629"/>
    <w:pPr>
      <w:spacing w:before="120" w:after="120"/>
      <w:textboxTightWrap w:val="allLines"/>
    </w:pPr>
    <w:rPr>
      <w:rFonts w:ascii="Arial" w:hAnsi="Arial"/>
      <w:sz w:val="21"/>
    </w:rPr>
  </w:style>
  <w:style w:type="character" w:customStyle="1" w:styleId="TableTextChar">
    <w:name w:val="Table Text Char"/>
    <w:basedOn w:val="DefaultParagraphFont"/>
    <w:link w:val="TableText"/>
    <w:rsid w:val="00C93629"/>
    <w:rPr>
      <w:rFonts w:ascii="Arial" w:eastAsia="Times New Roman" w:hAnsi="Arial" w:cs="Times New Roman"/>
      <w:sz w:val="21"/>
      <w:lang w:eastAsia="en-GB"/>
    </w:rPr>
  </w:style>
  <w:style w:type="paragraph" w:customStyle="1" w:styleId="TableHeader">
    <w:name w:val="Table Header"/>
    <w:basedOn w:val="Normal"/>
    <w:qFormat/>
    <w:rsid w:val="00C93629"/>
    <w:pPr>
      <w:tabs>
        <w:tab w:val="right" w:pos="14580"/>
      </w:tabs>
      <w:spacing w:before="60" w:after="60"/>
      <w:ind w:right="-108"/>
      <w:textboxTightWrap w:val="allLines"/>
    </w:pPr>
    <w:rPr>
      <w:rFonts w:ascii="Arial" w:eastAsia="SimSun" w:hAnsi="Arial" w:cs="Arial"/>
      <w:b/>
      <w:bCs/>
      <w:sz w:val="21"/>
      <w:lang w:val="en-US"/>
    </w:rPr>
  </w:style>
  <w:style w:type="paragraph" w:styleId="BalloonText">
    <w:name w:val="Balloon Text"/>
    <w:basedOn w:val="Normal"/>
    <w:link w:val="BalloonTextChar"/>
    <w:uiPriority w:val="99"/>
    <w:semiHidden/>
    <w:unhideWhenUsed/>
    <w:rsid w:val="00B47978"/>
    <w:rPr>
      <w:sz w:val="18"/>
      <w:szCs w:val="18"/>
    </w:rPr>
  </w:style>
  <w:style w:type="character" w:customStyle="1" w:styleId="BalloonTextChar">
    <w:name w:val="Balloon Text Char"/>
    <w:basedOn w:val="DefaultParagraphFont"/>
    <w:link w:val="BalloonText"/>
    <w:uiPriority w:val="99"/>
    <w:semiHidden/>
    <w:rsid w:val="00B47978"/>
    <w:rPr>
      <w:rFonts w:ascii="Times New Roman" w:eastAsia="Times New Roman" w:hAnsi="Times New Roman" w:cs="Times New Roman"/>
      <w:sz w:val="18"/>
      <w:szCs w:val="18"/>
      <w:lang w:eastAsia="en-GB"/>
    </w:rPr>
  </w:style>
  <w:style w:type="paragraph" w:styleId="FootnoteText">
    <w:name w:val="footnote text"/>
    <w:basedOn w:val="Normal"/>
    <w:link w:val="FootnoteTextChar"/>
    <w:uiPriority w:val="99"/>
    <w:semiHidden/>
    <w:unhideWhenUsed/>
    <w:rsid w:val="002640B2"/>
    <w:rPr>
      <w:sz w:val="20"/>
      <w:szCs w:val="20"/>
    </w:rPr>
  </w:style>
  <w:style w:type="character" w:customStyle="1" w:styleId="FootnoteTextChar">
    <w:name w:val="Footnote Text Char"/>
    <w:basedOn w:val="DefaultParagraphFont"/>
    <w:link w:val="FootnoteText"/>
    <w:uiPriority w:val="99"/>
    <w:semiHidden/>
    <w:rsid w:val="002640B2"/>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2640B2"/>
    <w:rPr>
      <w:vertAlign w:val="superscript"/>
    </w:rPr>
  </w:style>
  <w:style w:type="character" w:styleId="Hyperlink">
    <w:name w:val="Hyperlink"/>
    <w:basedOn w:val="DefaultParagraphFont"/>
    <w:uiPriority w:val="99"/>
    <w:unhideWhenUsed/>
    <w:rsid w:val="007A77AE"/>
    <w:rPr>
      <w:color w:val="0563C1" w:themeColor="hyperlink"/>
      <w:u w:val="single"/>
    </w:rPr>
  </w:style>
  <w:style w:type="character" w:customStyle="1" w:styleId="UnresolvedMention1">
    <w:name w:val="Unresolved Mention1"/>
    <w:basedOn w:val="DefaultParagraphFont"/>
    <w:uiPriority w:val="99"/>
    <w:semiHidden/>
    <w:unhideWhenUsed/>
    <w:rsid w:val="007A77AE"/>
    <w:rPr>
      <w:color w:val="605E5C"/>
      <w:shd w:val="clear" w:color="auto" w:fill="E1DFDD"/>
    </w:rPr>
  </w:style>
  <w:style w:type="character" w:styleId="CommentReference">
    <w:name w:val="annotation reference"/>
    <w:basedOn w:val="DefaultParagraphFont"/>
    <w:uiPriority w:val="99"/>
    <w:semiHidden/>
    <w:unhideWhenUsed/>
    <w:rsid w:val="00A86123"/>
    <w:rPr>
      <w:sz w:val="16"/>
      <w:szCs w:val="16"/>
    </w:rPr>
  </w:style>
  <w:style w:type="paragraph" w:styleId="CommentText">
    <w:name w:val="annotation text"/>
    <w:basedOn w:val="Normal"/>
    <w:link w:val="CommentTextChar"/>
    <w:uiPriority w:val="99"/>
    <w:unhideWhenUsed/>
    <w:rsid w:val="00A86123"/>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A86123"/>
    <w:rPr>
      <w:sz w:val="20"/>
      <w:szCs w:val="20"/>
    </w:rPr>
  </w:style>
  <w:style w:type="paragraph" w:styleId="CommentSubject">
    <w:name w:val="annotation subject"/>
    <w:basedOn w:val="CommentText"/>
    <w:next w:val="CommentText"/>
    <w:link w:val="CommentSubjectChar"/>
    <w:uiPriority w:val="99"/>
    <w:semiHidden/>
    <w:unhideWhenUsed/>
    <w:rsid w:val="00A86123"/>
    <w:rPr>
      <w:b/>
      <w:bCs/>
    </w:rPr>
  </w:style>
  <w:style w:type="character" w:customStyle="1" w:styleId="CommentSubjectChar">
    <w:name w:val="Comment Subject Char"/>
    <w:basedOn w:val="CommentTextChar"/>
    <w:link w:val="CommentSubject"/>
    <w:uiPriority w:val="99"/>
    <w:semiHidden/>
    <w:rsid w:val="00A86123"/>
    <w:rPr>
      <w:b/>
      <w:bCs/>
      <w:sz w:val="20"/>
      <w:szCs w:val="20"/>
    </w:rPr>
  </w:style>
  <w:style w:type="paragraph" w:styleId="Header">
    <w:name w:val="header"/>
    <w:basedOn w:val="Normal"/>
    <w:link w:val="HeaderChar"/>
    <w:uiPriority w:val="99"/>
    <w:unhideWhenUsed/>
    <w:rsid w:val="00A86123"/>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A86123"/>
  </w:style>
  <w:style w:type="paragraph" w:styleId="Footer">
    <w:name w:val="footer"/>
    <w:basedOn w:val="Normal"/>
    <w:link w:val="FooterChar"/>
    <w:uiPriority w:val="99"/>
    <w:unhideWhenUsed/>
    <w:rsid w:val="00A86123"/>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A86123"/>
  </w:style>
  <w:style w:type="paragraph" w:styleId="Revision">
    <w:name w:val="Revision"/>
    <w:hidden/>
    <w:uiPriority w:val="99"/>
    <w:semiHidden/>
    <w:rsid w:val="00A86123"/>
  </w:style>
  <w:style w:type="table" w:customStyle="1" w:styleId="TableGrid1">
    <w:name w:val="Table Grid1"/>
    <w:basedOn w:val="TableNormal"/>
    <w:next w:val="TableGrid"/>
    <w:uiPriority w:val="39"/>
    <w:rsid w:val="005313ED"/>
    <w:pPr>
      <w:ind w:firstLine="360"/>
    </w:pPr>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313ED"/>
    <w:rPr>
      <w:color w:val="954F72" w:themeColor="followedHyperlink"/>
      <w:u w:val="single"/>
    </w:rPr>
  </w:style>
  <w:style w:type="character" w:customStyle="1" w:styleId="epub-sectionitem">
    <w:name w:val="epub-section__item"/>
    <w:basedOn w:val="DefaultParagraphFont"/>
    <w:rsid w:val="005313ED"/>
  </w:style>
  <w:style w:type="character" w:customStyle="1" w:styleId="hit">
    <w:name w:val="hit"/>
    <w:basedOn w:val="DefaultParagraphFont"/>
    <w:rsid w:val="005313ED"/>
  </w:style>
  <w:style w:type="character" w:styleId="PageNumber">
    <w:name w:val="page number"/>
    <w:basedOn w:val="DefaultParagraphFont"/>
    <w:uiPriority w:val="99"/>
    <w:semiHidden/>
    <w:unhideWhenUsed/>
    <w:rsid w:val="0013060B"/>
  </w:style>
  <w:style w:type="character" w:customStyle="1" w:styleId="Heading1Char">
    <w:name w:val="Heading 1 Char"/>
    <w:basedOn w:val="DefaultParagraphFont"/>
    <w:link w:val="Heading1"/>
    <w:uiPriority w:val="9"/>
    <w:rsid w:val="00E171EF"/>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E171EF"/>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E171EF"/>
    <w:rPr>
      <w:rFonts w:asciiTheme="majorHAnsi" w:eastAsiaTheme="majorEastAsia" w:hAnsiTheme="majorHAnsi" w:cstheme="majorBidi"/>
      <w:color w:val="1F3763" w:themeColor="accent1" w:themeShade="7F"/>
      <w:lang w:eastAsia="en-GB"/>
    </w:rPr>
  </w:style>
  <w:style w:type="paragraph" w:styleId="TOCHeading">
    <w:name w:val="TOC Heading"/>
    <w:basedOn w:val="Heading1"/>
    <w:next w:val="Normal"/>
    <w:uiPriority w:val="39"/>
    <w:unhideWhenUsed/>
    <w:qFormat/>
    <w:rsid w:val="004F48F4"/>
    <w:pPr>
      <w:spacing w:before="480" w:line="276" w:lineRule="auto"/>
      <w:outlineLvl w:val="9"/>
    </w:pPr>
    <w:rPr>
      <w:b/>
      <w:bCs/>
      <w:sz w:val="28"/>
      <w:szCs w:val="28"/>
      <w:lang w:val="en-US" w:eastAsia="en-US"/>
    </w:rPr>
  </w:style>
  <w:style w:type="paragraph" w:styleId="TOC1">
    <w:name w:val="toc 1"/>
    <w:basedOn w:val="Normal"/>
    <w:next w:val="Normal"/>
    <w:autoRedefine/>
    <w:uiPriority w:val="39"/>
    <w:unhideWhenUsed/>
    <w:rsid w:val="00223777"/>
    <w:pPr>
      <w:tabs>
        <w:tab w:val="left" w:pos="720"/>
        <w:tab w:val="right" w:pos="9010"/>
      </w:tabs>
      <w:spacing w:before="120" w:line="360" w:lineRule="auto"/>
    </w:pPr>
    <w:rPr>
      <w:rFonts w:ascii="Arial" w:hAnsi="Arial" w:cs="Arial"/>
      <w:b/>
      <w:bCs/>
      <w:noProof/>
      <w:color w:val="0070C0"/>
      <w:sz w:val="31"/>
      <w:szCs w:val="20"/>
    </w:rPr>
  </w:style>
  <w:style w:type="paragraph" w:styleId="TOC2">
    <w:name w:val="toc 2"/>
    <w:basedOn w:val="Normal"/>
    <w:next w:val="Normal"/>
    <w:autoRedefine/>
    <w:uiPriority w:val="39"/>
    <w:unhideWhenUsed/>
    <w:rsid w:val="001435C5"/>
    <w:pPr>
      <w:spacing w:line="360" w:lineRule="auto"/>
      <w:ind w:left="240"/>
    </w:pPr>
    <w:rPr>
      <w:rFonts w:ascii="Arial" w:hAnsi="Arial" w:cstheme="minorHAnsi"/>
      <w:iCs/>
      <w:color w:val="000000" w:themeColor="text1"/>
      <w:szCs w:val="20"/>
    </w:rPr>
  </w:style>
  <w:style w:type="paragraph" w:styleId="TOC3">
    <w:name w:val="toc 3"/>
    <w:basedOn w:val="Normal"/>
    <w:next w:val="Normal"/>
    <w:autoRedefine/>
    <w:uiPriority w:val="39"/>
    <w:unhideWhenUsed/>
    <w:rsid w:val="001435C5"/>
    <w:pPr>
      <w:spacing w:line="360" w:lineRule="auto"/>
      <w:ind w:left="480"/>
    </w:pPr>
    <w:rPr>
      <w:rFonts w:ascii="Arial" w:hAnsi="Arial" w:cstheme="minorHAnsi"/>
      <w:szCs w:val="20"/>
    </w:rPr>
  </w:style>
  <w:style w:type="paragraph" w:styleId="TOC4">
    <w:name w:val="toc 4"/>
    <w:basedOn w:val="Normal"/>
    <w:next w:val="Normal"/>
    <w:autoRedefine/>
    <w:uiPriority w:val="39"/>
    <w:unhideWhenUsed/>
    <w:rsid w:val="004F48F4"/>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4F48F4"/>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4F48F4"/>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4F48F4"/>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4F48F4"/>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4F48F4"/>
    <w:pPr>
      <w:ind w:left="1920"/>
    </w:pPr>
    <w:rPr>
      <w:rFonts w:asciiTheme="minorHAnsi" w:hAnsiTheme="minorHAnsi" w:cstheme="minorHAnsi"/>
      <w:sz w:val="20"/>
      <w:szCs w:val="20"/>
    </w:rPr>
  </w:style>
  <w:style w:type="numbering" w:styleId="111111">
    <w:name w:val="Outline List 2"/>
    <w:basedOn w:val="NoList"/>
    <w:uiPriority w:val="99"/>
    <w:semiHidden/>
    <w:unhideWhenUsed/>
    <w:rsid w:val="004F48F4"/>
    <w:pPr>
      <w:numPr>
        <w:numId w:val="43"/>
      </w:numPr>
    </w:pPr>
  </w:style>
  <w:style w:type="character" w:styleId="UnresolvedMention">
    <w:name w:val="Unresolved Mention"/>
    <w:basedOn w:val="DefaultParagraphFont"/>
    <w:uiPriority w:val="99"/>
    <w:semiHidden/>
    <w:unhideWhenUsed/>
    <w:rsid w:val="00D22D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234834">
      <w:bodyDiv w:val="1"/>
      <w:marLeft w:val="0"/>
      <w:marRight w:val="0"/>
      <w:marTop w:val="0"/>
      <w:marBottom w:val="0"/>
      <w:divBdr>
        <w:top w:val="none" w:sz="0" w:space="0" w:color="auto"/>
        <w:left w:val="none" w:sz="0" w:space="0" w:color="auto"/>
        <w:bottom w:val="none" w:sz="0" w:space="0" w:color="auto"/>
        <w:right w:val="none" w:sz="0" w:space="0" w:color="auto"/>
      </w:divBdr>
    </w:div>
    <w:div w:id="164832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8770E-7A1E-4BF8-AB75-13C21485C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4253</Words>
  <Characters>24245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Critchlow, James</dc:creator>
  <cp:lastModifiedBy>Sarah Jackson</cp:lastModifiedBy>
  <cp:revision>3</cp:revision>
  <cp:lastPrinted>2020-01-20T03:53:00Z</cp:lastPrinted>
  <dcterms:created xsi:type="dcterms:W3CDTF">2020-02-18T08:41:00Z</dcterms:created>
  <dcterms:modified xsi:type="dcterms:W3CDTF">2020-03-18T18:12:00Z</dcterms:modified>
</cp:coreProperties>
</file>